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7B801" w14:textId="4651A035" w:rsidR="00F46EB6" w:rsidRPr="00F46EB6" w:rsidRDefault="00F46EB6" w:rsidP="00B06CE9">
      <w:pPr>
        <w:pStyle w:val="Titre1"/>
        <w:spacing w:before="0"/>
      </w:pPr>
      <w:bookmarkStart w:id="0" w:name="Headline"/>
      <w:r w:rsidRPr="00F46EB6">
        <w:t xml:space="preserve">Nouvelles mesures policières : </w:t>
      </w:r>
      <w:r>
        <w:br/>
      </w:r>
      <w:r w:rsidRPr="00F46EB6">
        <w:t>déclarations en Suisse et à l'étranger</w:t>
      </w:r>
    </w:p>
    <w:p w14:paraId="087BC8D0" w14:textId="77777777" w:rsidR="00F46EB6" w:rsidRPr="00F46EB6" w:rsidRDefault="00F46EB6" w:rsidP="00F46EB6">
      <w:pPr>
        <w:pStyle w:val="Titre1"/>
        <w:spacing w:after="120"/>
        <w:rPr>
          <w:sz w:val="28"/>
          <w:szCs w:val="22"/>
        </w:rPr>
      </w:pPr>
      <w:r w:rsidRPr="00F46EB6">
        <w:rPr>
          <w:sz w:val="28"/>
          <w:szCs w:val="22"/>
        </w:rPr>
        <w:t>Les critiques des expert</w:t>
      </w:r>
      <w:r w:rsidRPr="00F46EB6">
        <w:rPr>
          <w:rStyle w:val="hgkelc"/>
          <w:sz w:val="28"/>
          <w:szCs w:val="22"/>
        </w:rPr>
        <w:t>·e·</w:t>
      </w:r>
      <w:r w:rsidRPr="00F46EB6">
        <w:rPr>
          <w:sz w:val="28"/>
          <w:szCs w:val="22"/>
        </w:rPr>
        <w:t>s n’ont pas été entendues</w:t>
      </w:r>
    </w:p>
    <w:p w14:paraId="432982B3" w14:textId="77777777" w:rsidR="00F46EB6" w:rsidRPr="00525F67" w:rsidRDefault="00F46EB6" w:rsidP="00F03F29">
      <w:pPr>
        <w:spacing w:line="240" w:lineRule="auto"/>
        <w:rPr>
          <w:rFonts w:cstheme="minorHAnsi"/>
        </w:rPr>
      </w:pPr>
      <w:r w:rsidRPr="00525F67">
        <w:rPr>
          <w:rFonts w:cstheme="minorHAnsi"/>
        </w:rPr>
        <w:t xml:space="preserve">Les mesures policières de lutte contre le terrorisme ont été critiquées en des termes inhabituellement sévères, notamment par des </w:t>
      </w:r>
      <w:proofErr w:type="spellStart"/>
      <w:r w:rsidRPr="00525F67">
        <w:rPr>
          <w:rFonts w:cstheme="minorHAnsi"/>
        </w:rPr>
        <w:t>expert·e·s</w:t>
      </w:r>
      <w:proofErr w:type="spellEnd"/>
      <w:r w:rsidRPr="00525F67">
        <w:rPr>
          <w:rFonts w:cstheme="minorHAnsi"/>
        </w:rPr>
        <w:t xml:space="preserve"> de l'ONU, du Conseil de l'Europe, des droits de l'enfant et même par des </w:t>
      </w:r>
      <w:proofErr w:type="spellStart"/>
      <w:r w:rsidRPr="00525F67">
        <w:rPr>
          <w:rFonts w:cstheme="minorHAnsi"/>
        </w:rPr>
        <w:t>professeur·e·s</w:t>
      </w:r>
      <w:proofErr w:type="spellEnd"/>
      <w:r w:rsidRPr="00525F67">
        <w:rPr>
          <w:rFonts w:cstheme="minorHAnsi"/>
        </w:rPr>
        <w:t xml:space="preserve"> de droit suisses. Mais ces critiques n'ont malheureusement pas été entendues par le législateur. Voici un petit aperçu des prises de positions les plus importantes.</w:t>
      </w:r>
    </w:p>
    <w:p w14:paraId="2A87DC14" w14:textId="77777777" w:rsidR="00F46EB6" w:rsidRPr="00525F67" w:rsidRDefault="00F46EB6" w:rsidP="00F46EB6">
      <w:pPr>
        <w:rPr>
          <w:rFonts w:cstheme="minorHAnsi"/>
        </w:rPr>
      </w:pPr>
    </w:p>
    <w:p w14:paraId="1E0126ED" w14:textId="5A9DAD77" w:rsidR="00F46EB6" w:rsidRPr="00F46EB6" w:rsidRDefault="00F46EB6" w:rsidP="00F46EB6">
      <w:pPr>
        <w:pStyle w:val="Titre1"/>
        <w:spacing w:after="120"/>
        <w:rPr>
          <w:sz w:val="28"/>
          <w:szCs w:val="22"/>
        </w:rPr>
      </w:pPr>
      <w:r w:rsidRPr="00F46EB6">
        <w:rPr>
          <w:sz w:val="28"/>
          <w:szCs w:val="22"/>
        </w:rPr>
        <w:t>Une définition floue et de grands risques</w:t>
      </w:r>
    </w:p>
    <w:p w14:paraId="2D3F10BD" w14:textId="77777777" w:rsidR="00F46EB6" w:rsidRPr="00525F67" w:rsidRDefault="00F46EB6" w:rsidP="00F03F29">
      <w:pPr>
        <w:spacing w:line="240" w:lineRule="auto"/>
        <w:rPr>
          <w:rFonts w:cstheme="minorHAnsi"/>
          <w:lang w:eastAsia="fr-FR"/>
        </w:rPr>
      </w:pPr>
      <w:r w:rsidRPr="00525F67">
        <w:rPr>
          <w:rFonts w:cstheme="minorHAnsi"/>
          <w:b/>
          <w:bCs/>
        </w:rPr>
        <w:t xml:space="preserve">La Commissaire aux droits de l’homme du Conseil de l'Europe, </w:t>
      </w:r>
      <w:proofErr w:type="spellStart"/>
      <w:r w:rsidRPr="00525F67">
        <w:rPr>
          <w:rFonts w:cstheme="minorHAnsi"/>
          <w:b/>
          <w:bCs/>
        </w:rPr>
        <w:t>Dunja</w:t>
      </w:r>
      <w:proofErr w:type="spellEnd"/>
      <w:r w:rsidRPr="00525F67">
        <w:rPr>
          <w:rFonts w:cstheme="minorHAnsi"/>
          <w:b/>
          <w:bCs/>
        </w:rPr>
        <w:t xml:space="preserve"> </w:t>
      </w:r>
      <w:proofErr w:type="spellStart"/>
      <w:r w:rsidRPr="00525F67">
        <w:rPr>
          <w:rFonts w:cstheme="minorHAnsi"/>
          <w:b/>
          <w:bCs/>
        </w:rPr>
        <w:t>Mijatović</w:t>
      </w:r>
      <w:proofErr w:type="spellEnd"/>
      <w:r w:rsidRPr="00525F67">
        <w:rPr>
          <w:rFonts w:cstheme="minorHAnsi"/>
        </w:rPr>
        <w:t>, a écrit aux législateurs</w:t>
      </w:r>
      <w:r>
        <w:rPr>
          <w:rFonts w:cstheme="minorHAnsi"/>
        </w:rPr>
        <w:t xml:space="preserve"> et législatrices</w:t>
      </w:r>
      <w:r w:rsidRPr="00525F67">
        <w:rPr>
          <w:rFonts w:cstheme="minorHAnsi"/>
        </w:rPr>
        <w:t xml:space="preserve"> suisses pour leur demander instamment de revoir le projet de loi fédérale sur les mesures policières de lutte contre le terrorisme (MPT) afin de le rendre compatible avec les obligations en matière de droits humains. Elle s'est montrée particulièrement préoccupée par la définition vague de « </w:t>
      </w:r>
      <w:r w:rsidRPr="00525F67">
        <w:rPr>
          <w:rFonts w:cstheme="minorHAnsi"/>
          <w:lang w:eastAsia="fr-FR"/>
        </w:rPr>
        <w:t>terroriste potentiel »</w:t>
      </w:r>
      <w:r w:rsidRPr="00525F67">
        <w:rPr>
          <w:rFonts w:cstheme="minorHAnsi"/>
        </w:rPr>
        <w:t xml:space="preserve"> et par l'absence de garanties</w:t>
      </w:r>
      <w:r>
        <w:rPr>
          <w:rFonts w:cstheme="minorHAnsi"/>
        </w:rPr>
        <w:t xml:space="preserve"> </w:t>
      </w:r>
      <w:r w:rsidRPr="00525F67">
        <w:rPr>
          <w:rFonts w:cstheme="minorHAnsi"/>
        </w:rPr>
        <w:t xml:space="preserve"> </w:t>
      </w:r>
      <w:r w:rsidRPr="006C0A4D">
        <w:rPr>
          <w:rFonts w:cstheme="minorHAnsi"/>
        </w:rPr>
        <w:t>juridiques suffisantes</w:t>
      </w:r>
      <w:r w:rsidRPr="008A0F54">
        <w:rPr>
          <w:rFonts w:cstheme="minorHAnsi"/>
        </w:rPr>
        <w:t xml:space="preserve"> quant au</w:t>
      </w:r>
      <w:r w:rsidRPr="006C0A4D">
        <w:rPr>
          <w:rFonts w:cstheme="minorHAnsi"/>
        </w:rPr>
        <w:t xml:space="preserve"> </w:t>
      </w:r>
      <w:r w:rsidRPr="006C0A4D">
        <w:rPr>
          <w:rFonts w:cstheme="minorHAnsi"/>
          <w:lang w:eastAsia="fr-FR"/>
        </w:rPr>
        <w:t>champ d</w:t>
      </w:r>
      <w:r w:rsidRPr="00525F67">
        <w:rPr>
          <w:rFonts w:cstheme="minorHAnsi"/>
          <w:lang w:eastAsia="fr-FR"/>
        </w:rPr>
        <w:t>’application des mesures administratives que l’Office fédéral de police (</w:t>
      </w:r>
      <w:proofErr w:type="spellStart"/>
      <w:r w:rsidRPr="00525F67">
        <w:rPr>
          <w:rFonts w:cstheme="minorHAnsi"/>
          <w:lang w:eastAsia="fr-FR"/>
        </w:rPr>
        <w:t>Fedpol</w:t>
      </w:r>
      <w:proofErr w:type="spellEnd"/>
      <w:r w:rsidRPr="00525F67">
        <w:rPr>
          <w:rFonts w:cstheme="minorHAnsi"/>
          <w:lang w:eastAsia="fr-FR"/>
        </w:rPr>
        <w:t xml:space="preserve">) peut prononcer </w:t>
      </w:r>
      <w:r w:rsidRPr="00525F67">
        <w:rPr>
          <w:rFonts w:cstheme="minorHAnsi"/>
        </w:rPr>
        <w:t xml:space="preserve">: « </w:t>
      </w:r>
      <w:r w:rsidRPr="00525F67">
        <w:rPr>
          <w:rFonts w:cstheme="minorHAnsi"/>
          <w:b/>
          <w:bCs/>
          <w:lang w:eastAsia="fr-FR"/>
        </w:rPr>
        <w:t xml:space="preserve">L’absence de définition claire et précise ouvre la voie à une interprétation large faisant courir le risque d’ingérences excessives et arbitraires dans les droits de l’homme </w:t>
      </w:r>
      <w:r w:rsidRPr="00525F67">
        <w:rPr>
          <w:rFonts w:cstheme="minorHAnsi"/>
        </w:rPr>
        <w:t>», a-t-elle écrit, ajoutant que la notion même de « terroriste potentiel » risque d’être stigmatisante.</w:t>
      </w:r>
    </w:p>
    <w:p w14:paraId="6771F6CD" w14:textId="77777777" w:rsidR="00F46EB6" w:rsidRPr="00525F67" w:rsidRDefault="00F46EB6" w:rsidP="00F03F29">
      <w:pPr>
        <w:spacing w:line="240" w:lineRule="auto"/>
        <w:rPr>
          <w:rFonts w:cstheme="minorHAnsi"/>
        </w:rPr>
      </w:pPr>
    </w:p>
    <w:p w14:paraId="1A161601" w14:textId="77777777" w:rsidR="00F46EB6" w:rsidRPr="00525F67" w:rsidRDefault="00F46EB6" w:rsidP="00F03F29">
      <w:pPr>
        <w:spacing w:line="240" w:lineRule="auto"/>
        <w:rPr>
          <w:rFonts w:cstheme="minorHAnsi"/>
        </w:rPr>
      </w:pPr>
      <w:r w:rsidRPr="00525F67">
        <w:rPr>
          <w:rFonts w:cstheme="minorHAnsi"/>
        </w:rPr>
        <w:t>La Commissaire a souligné la gravité des mesures envisagées, notamment l'assignation à résidence prévue par la loi. Une mesure aussi sévère, pouvant durer jusqu'à neuf mois, ne peut guère être considérée comme « proportionnée et nécessaire » du point de vue des droits humains. Le fait que ces mesures puissent être imposées par une décision en dehors du système de justice pénale</w:t>
      </w:r>
      <w:r>
        <w:rPr>
          <w:rFonts w:cstheme="minorHAnsi"/>
        </w:rPr>
        <w:t xml:space="preserve"> </w:t>
      </w:r>
      <w:r w:rsidRPr="00525F67">
        <w:rPr>
          <w:rFonts w:cstheme="minorHAnsi"/>
        </w:rPr>
        <w:t xml:space="preserve">est particulièrement problématique, selon elle. </w:t>
      </w:r>
    </w:p>
    <w:p w14:paraId="5C56DDAF" w14:textId="77777777" w:rsidR="00F46EB6" w:rsidRPr="00525F67" w:rsidRDefault="00F46EB6" w:rsidP="00F03F29">
      <w:pPr>
        <w:spacing w:line="240" w:lineRule="auto"/>
        <w:rPr>
          <w:rFonts w:cstheme="minorHAnsi"/>
        </w:rPr>
      </w:pPr>
    </w:p>
    <w:p w14:paraId="0B835AB2" w14:textId="77777777" w:rsidR="00F46EB6" w:rsidRPr="00525F67" w:rsidRDefault="00F46EB6" w:rsidP="00F03F29">
      <w:pPr>
        <w:spacing w:line="240" w:lineRule="auto"/>
        <w:rPr>
          <w:rFonts w:cstheme="minorHAnsi"/>
        </w:rPr>
      </w:pPr>
      <w:r w:rsidRPr="00525F67">
        <w:rPr>
          <w:rFonts w:cstheme="minorHAnsi"/>
        </w:rPr>
        <w:t xml:space="preserve">La Commissaire a exprimé une préoccupation particulière concernant l'application de mesures policières aux enfants « en dehors du système de justice pour </w:t>
      </w:r>
      <w:proofErr w:type="spellStart"/>
      <w:r w:rsidRPr="00525F67">
        <w:rPr>
          <w:rFonts w:cstheme="minorHAnsi"/>
        </w:rPr>
        <w:t>mineur·e·s</w:t>
      </w:r>
      <w:proofErr w:type="spellEnd"/>
      <w:r w:rsidRPr="00525F67">
        <w:rPr>
          <w:rFonts w:cstheme="minorHAnsi"/>
        </w:rPr>
        <w:t xml:space="preserve"> et sans garanties juridiques appropriée</w:t>
      </w:r>
      <w:r>
        <w:rPr>
          <w:rFonts w:cstheme="minorHAnsi"/>
        </w:rPr>
        <w:t>s</w:t>
      </w:r>
      <w:r w:rsidRPr="00525F67">
        <w:rPr>
          <w:rFonts w:cstheme="minorHAnsi"/>
        </w:rPr>
        <w:t xml:space="preserve"> ». Ce type de mesure ne donne pas l’assurance d’un cadre </w:t>
      </w:r>
      <w:r>
        <w:rPr>
          <w:rFonts w:cstheme="minorHAnsi"/>
        </w:rPr>
        <w:t xml:space="preserve">suffisamment </w:t>
      </w:r>
      <w:r w:rsidRPr="00525F67">
        <w:rPr>
          <w:rFonts w:cstheme="minorHAnsi"/>
        </w:rPr>
        <w:t>adapté aux enfants, y compris pour celles et ceux dont on considère qu’</w:t>
      </w:r>
      <w:r>
        <w:rPr>
          <w:rFonts w:cstheme="minorHAnsi"/>
        </w:rPr>
        <w:t>ils</w:t>
      </w:r>
      <w:r w:rsidRPr="00525F67">
        <w:rPr>
          <w:rFonts w:cstheme="minorHAnsi"/>
        </w:rPr>
        <w:t xml:space="preserve"> pourraient être un jour </w:t>
      </w:r>
      <w:proofErr w:type="spellStart"/>
      <w:r w:rsidRPr="00525F67">
        <w:rPr>
          <w:rFonts w:cstheme="minorHAnsi"/>
        </w:rPr>
        <w:t>impliqué</w:t>
      </w:r>
      <w:r>
        <w:rPr>
          <w:rStyle w:val="hgkelc"/>
        </w:rPr>
        <w:t>·e·</w:t>
      </w:r>
      <w:r w:rsidRPr="00525F67">
        <w:rPr>
          <w:rFonts w:cstheme="minorHAnsi"/>
        </w:rPr>
        <w:t>s</w:t>
      </w:r>
      <w:proofErr w:type="spellEnd"/>
      <w:r w:rsidRPr="00525F67">
        <w:rPr>
          <w:rFonts w:cstheme="minorHAnsi"/>
        </w:rPr>
        <w:t xml:space="preserve"> dans des activités terroristes.</w:t>
      </w:r>
    </w:p>
    <w:p w14:paraId="77F4DA9D" w14:textId="77777777" w:rsidR="00F46EB6" w:rsidRDefault="00F46EB6" w:rsidP="00F03F29">
      <w:pPr>
        <w:spacing w:line="240" w:lineRule="auto"/>
        <w:rPr>
          <w:rFonts w:cstheme="minorHAnsi"/>
        </w:rPr>
      </w:pPr>
      <w:r w:rsidRPr="00525F67">
        <w:rPr>
          <w:rFonts w:cstheme="minorHAnsi"/>
        </w:rPr>
        <w:t>Elle a rappelé que le respect des droits humains doit être au premier plan de la lutte contre le terrorisme : « </w:t>
      </w:r>
      <w:r w:rsidRPr="00525F67">
        <w:rPr>
          <w:rFonts w:cstheme="minorHAnsi"/>
          <w:b/>
          <w:bCs/>
        </w:rPr>
        <w:t xml:space="preserve">Les politiques qui respectent les droits </w:t>
      </w:r>
      <w:r>
        <w:rPr>
          <w:rFonts w:cstheme="minorHAnsi"/>
          <w:b/>
          <w:bCs/>
        </w:rPr>
        <w:t>de l’homme</w:t>
      </w:r>
      <w:r w:rsidRPr="00525F67">
        <w:rPr>
          <w:rFonts w:cstheme="minorHAnsi"/>
          <w:b/>
          <w:bCs/>
        </w:rPr>
        <w:t xml:space="preserve"> préservent les valeurs que les terroristes essaient de détruire, elles affaiblissent le soutien à l’extrémisme violent parmi </w:t>
      </w:r>
      <w:r>
        <w:rPr>
          <w:rFonts w:cstheme="minorHAnsi"/>
          <w:b/>
          <w:bCs/>
        </w:rPr>
        <w:t>celles et ceux</w:t>
      </w:r>
      <w:r w:rsidRPr="00525F67">
        <w:rPr>
          <w:rFonts w:cstheme="minorHAnsi"/>
          <w:b/>
          <w:bCs/>
        </w:rPr>
        <w:t xml:space="preserve"> qui pourraient être </w:t>
      </w:r>
      <w:proofErr w:type="spellStart"/>
      <w:r w:rsidRPr="00525F67">
        <w:rPr>
          <w:rFonts w:cstheme="minorHAnsi"/>
          <w:b/>
          <w:bCs/>
        </w:rPr>
        <w:t>tent</w:t>
      </w:r>
      <w:r w:rsidRPr="006C0A4D">
        <w:rPr>
          <w:rFonts w:cstheme="minorHAnsi"/>
          <w:b/>
          <w:bCs/>
        </w:rPr>
        <w:t>é</w:t>
      </w:r>
      <w:r w:rsidRPr="00D116DA">
        <w:rPr>
          <w:rStyle w:val="hgkelc"/>
          <w:b/>
        </w:rPr>
        <w:t>·e</w:t>
      </w:r>
      <w:r>
        <w:rPr>
          <w:rStyle w:val="hgkelc"/>
        </w:rPr>
        <w:t>·</w:t>
      </w:r>
      <w:r w:rsidRPr="00525F67">
        <w:rPr>
          <w:rFonts w:cstheme="minorHAnsi"/>
          <w:b/>
          <w:bCs/>
        </w:rPr>
        <w:t>s</w:t>
      </w:r>
      <w:proofErr w:type="spellEnd"/>
      <w:r w:rsidRPr="00525F67">
        <w:rPr>
          <w:rFonts w:cstheme="minorHAnsi"/>
          <w:b/>
          <w:bCs/>
        </w:rPr>
        <w:t xml:space="preserve"> d’y adhérer, et elles renforcent la confiance des populations envers l’État de droit</w:t>
      </w:r>
      <w:r w:rsidRPr="00525F67">
        <w:rPr>
          <w:rFonts w:cstheme="minorHAnsi"/>
        </w:rPr>
        <w:t> ».</w:t>
      </w:r>
    </w:p>
    <w:p w14:paraId="0773A503" w14:textId="77777777" w:rsidR="00F46EB6" w:rsidRDefault="00F46EB6" w:rsidP="00F03F29">
      <w:pPr>
        <w:spacing w:line="240" w:lineRule="auto"/>
        <w:rPr>
          <w:rFonts w:cstheme="minorHAnsi"/>
        </w:rPr>
      </w:pPr>
    </w:p>
    <w:p w14:paraId="7A8E0DD2" w14:textId="77777777" w:rsidR="00F46EB6" w:rsidRPr="00525F67" w:rsidRDefault="001A4BA2" w:rsidP="00F03F29">
      <w:pPr>
        <w:spacing w:line="240" w:lineRule="auto"/>
        <w:rPr>
          <w:rFonts w:cstheme="minorHAnsi"/>
        </w:rPr>
      </w:pPr>
      <w:hyperlink r:id="rId7" w:history="1">
        <w:r w:rsidR="00F46EB6" w:rsidRPr="00F46EB6">
          <w:rPr>
            <w:rStyle w:val="Lienhypertexte"/>
            <w:rFonts w:cstheme="minorHAnsi"/>
            <w:lang w:val="fr-FR"/>
          </w:rPr>
          <w:t>Position de la Commissaire aux droits de l'homme du Conseil de l'Europe, mai 2020</w:t>
        </w:r>
      </w:hyperlink>
    </w:p>
    <w:p w14:paraId="36B53829" w14:textId="77777777" w:rsidR="00F46EB6" w:rsidRPr="00525F67" w:rsidRDefault="00F46EB6" w:rsidP="00F03F29">
      <w:pPr>
        <w:spacing w:line="240" w:lineRule="auto"/>
        <w:rPr>
          <w:rFonts w:cstheme="minorHAnsi"/>
        </w:rPr>
      </w:pPr>
    </w:p>
    <w:p w14:paraId="613854EF" w14:textId="77777777" w:rsidR="00F46EB6" w:rsidRPr="00F46EB6" w:rsidRDefault="00F46EB6" w:rsidP="00F46EB6">
      <w:pPr>
        <w:pStyle w:val="Titre1"/>
        <w:spacing w:after="120"/>
        <w:rPr>
          <w:sz w:val="28"/>
          <w:szCs w:val="22"/>
        </w:rPr>
      </w:pPr>
      <w:r w:rsidRPr="00F46EB6">
        <w:rPr>
          <w:sz w:val="28"/>
          <w:szCs w:val="22"/>
        </w:rPr>
        <w:t>De graves conséquences pour les droits humains</w:t>
      </w:r>
    </w:p>
    <w:p w14:paraId="4EC3851B" w14:textId="77777777" w:rsidR="00F46EB6" w:rsidRPr="00525F67" w:rsidRDefault="00F46EB6" w:rsidP="00F03F29">
      <w:pPr>
        <w:spacing w:line="240" w:lineRule="auto"/>
        <w:rPr>
          <w:rFonts w:cstheme="minorHAnsi"/>
        </w:rPr>
      </w:pPr>
      <w:r w:rsidRPr="00525F67">
        <w:rPr>
          <w:rFonts w:cstheme="minorHAnsi"/>
          <w:b/>
          <w:bCs/>
        </w:rPr>
        <w:t xml:space="preserve">Cinq rapporteurs </w:t>
      </w:r>
      <w:r>
        <w:rPr>
          <w:rFonts w:cstheme="minorHAnsi"/>
          <w:b/>
          <w:bCs/>
        </w:rPr>
        <w:t xml:space="preserve">spéciaux </w:t>
      </w:r>
      <w:r w:rsidRPr="00525F67">
        <w:rPr>
          <w:rFonts w:cstheme="minorHAnsi"/>
          <w:b/>
          <w:bCs/>
        </w:rPr>
        <w:t xml:space="preserve">et rapporteuses </w:t>
      </w:r>
      <w:r>
        <w:rPr>
          <w:rFonts w:cstheme="minorHAnsi"/>
          <w:b/>
          <w:bCs/>
        </w:rPr>
        <w:t>spéciales</w:t>
      </w:r>
      <w:r w:rsidRPr="00525F67">
        <w:rPr>
          <w:rFonts w:cstheme="minorHAnsi"/>
          <w:b/>
          <w:bCs/>
        </w:rPr>
        <w:t xml:space="preserve"> des Nations unies</w:t>
      </w:r>
      <w:r w:rsidRPr="00525F67">
        <w:rPr>
          <w:rFonts w:cstheme="minorHAnsi"/>
        </w:rPr>
        <w:t xml:space="preserve"> ont écrit aux législateurs</w:t>
      </w:r>
      <w:r>
        <w:rPr>
          <w:rFonts w:cstheme="minorHAnsi"/>
        </w:rPr>
        <w:t xml:space="preserve"> et législatrices</w:t>
      </w:r>
      <w:r w:rsidRPr="00525F67">
        <w:rPr>
          <w:rFonts w:cstheme="minorHAnsi"/>
        </w:rPr>
        <w:t xml:space="preserve"> suisses pour leur demander de réviser le projet de loi. I</w:t>
      </w:r>
      <w:r>
        <w:rPr>
          <w:rStyle w:val="hgkelc"/>
        </w:rPr>
        <w:t>ls</w:t>
      </w:r>
      <w:r w:rsidRPr="00525F67">
        <w:rPr>
          <w:rFonts w:cstheme="minorHAnsi"/>
        </w:rPr>
        <w:t xml:space="preserve"> ont noté que les mesures pourraient affecter un certain nombre de droits humains, notamment la liberté de circulation, d'association et de réunion ainsi que le droit à la vie privée et familiale. Dans certaines circonstances, le droit au travail, le droit à l'éducation ou le droit de participer à la vie religieuse et culturelle pourraient également être restreints. </w:t>
      </w:r>
    </w:p>
    <w:p w14:paraId="3DD64868" w14:textId="77777777" w:rsidR="00F46EB6" w:rsidRPr="00525F67" w:rsidRDefault="00F46EB6" w:rsidP="00F46EB6">
      <w:pPr>
        <w:rPr>
          <w:rFonts w:cstheme="minorHAnsi"/>
        </w:rPr>
      </w:pPr>
    </w:p>
    <w:p w14:paraId="60A49153" w14:textId="77777777" w:rsidR="00F46EB6" w:rsidRPr="00525F67" w:rsidRDefault="00F46EB6" w:rsidP="00F03F29">
      <w:pPr>
        <w:spacing w:line="240" w:lineRule="auto"/>
        <w:rPr>
          <w:rFonts w:cstheme="minorHAnsi"/>
        </w:rPr>
      </w:pPr>
      <w:r w:rsidRPr="00525F67">
        <w:rPr>
          <w:rFonts w:cstheme="minorHAnsi"/>
        </w:rPr>
        <w:t>Les rapporteur</w:t>
      </w:r>
      <w:r w:rsidRPr="00525F67">
        <w:rPr>
          <w:rFonts w:cstheme="minorHAnsi"/>
        </w:rPr>
        <w:sym w:font="Symbol" w:char="F0D7"/>
      </w:r>
      <w:proofErr w:type="spellStart"/>
      <w:r w:rsidRPr="00525F67">
        <w:rPr>
          <w:rFonts w:cstheme="minorHAnsi"/>
        </w:rPr>
        <w:t>euse</w:t>
      </w:r>
      <w:proofErr w:type="spellEnd"/>
      <w:r w:rsidRPr="00525F67">
        <w:rPr>
          <w:rFonts w:cstheme="minorHAnsi"/>
        </w:rPr>
        <w:sym w:font="Symbol" w:char="F0D7"/>
      </w:r>
      <w:r w:rsidRPr="00525F67">
        <w:rPr>
          <w:rFonts w:cstheme="minorHAnsi"/>
        </w:rPr>
        <w:t>s se sont inquiété</w:t>
      </w:r>
      <w:r w:rsidRPr="00525F67">
        <w:rPr>
          <w:rFonts w:cstheme="minorHAnsi"/>
        </w:rPr>
        <w:sym w:font="Symbol" w:char="F0D7"/>
      </w:r>
      <w:r w:rsidRPr="00525F67">
        <w:rPr>
          <w:rFonts w:cstheme="minorHAnsi"/>
        </w:rPr>
        <w:t>e</w:t>
      </w:r>
      <w:r w:rsidRPr="00525F67">
        <w:rPr>
          <w:rFonts w:cstheme="minorHAnsi"/>
        </w:rPr>
        <w:sym w:font="Symbol" w:char="F0D7"/>
      </w:r>
      <w:r w:rsidRPr="00525F67">
        <w:rPr>
          <w:rFonts w:cstheme="minorHAnsi"/>
        </w:rPr>
        <w:t>s du fait que le projet de loi manquait de la clarté nécessaire pour garantir que les mesures prises soient nécessaires et proportionnées. La définition de « terroriste potentiel » n'est pas suffisamment élaborée et l'extension de la définition du terrorisme pour inclure toute activité non violente qui pourrait entraîner la propagation de la crainte va bien au-delà du droit national suisse et viole les normes internationales. En outre, les rapporteur</w:t>
      </w:r>
      <w:r w:rsidRPr="00525F67">
        <w:rPr>
          <w:rFonts w:cstheme="minorHAnsi"/>
        </w:rPr>
        <w:sym w:font="Symbol" w:char="F0D7"/>
      </w:r>
      <w:proofErr w:type="spellStart"/>
      <w:r w:rsidRPr="00525F67">
        <w:rPr>
          <w:rFonts w:cstheme="minorHAnsi"/>
        </w:rPr>
        <w:t>euse</w:t>
      </w:r>
      <w:proofErr w:type="spellEnd"/>
      <w:r w:rsidRPr="00525F67">
        <w:rPr>
          <w:rFonts w:cstheme="minorHAnsi"/>
        </w:rPr>
        <w:sym w:font="Symbol" w:char="F0D7"/>
      </w:r>
      <w:r w:rsidRPr="00525F67">
        <w:rPr>
          <w:rFonts w:cstheme="minorHAnsi"/>
        </w:rPr>
        <w:t xml:space="preserve">s ont déclaré que « les actes visant à influencer ou à modifier l'ordre </w:t>
      </w:r>
      <w:r>
        <w:rPr>
          <w:rFonts w:cstheme="minorHAnsi"/>
        </w:rPr>
        <w:t>é</w:t>
      </w:r>
      <w:r w:rsidRPr="00525F67">
        <w:rPr>
          <w:rFonts w:cstheme="minorHAnsi"/>
        </w:rPr>
        <w:t xml:space="preserve">tatique peuvent inclure une série de comportements qui ne sont pas de nature terroriste ». Les </w:t>
      </w:r>
      <w:proofErr w:type="spellStart"/>
      <w:r w:rsidRPr="00525F67">
        <w:rPr>
          <w:rFonts w:cstheme="minorHAnsi"/>
        </w:rPr>
        <w:lastRenderedPageBreak/>
        <w:t>expert</w:t>
      </w:r>
      <w:r>
        <w:rPr>
          <w:rStyle w:val="hgkelc"/>
        </w:rPr>
        <w:t>·e·</w:t>
      </w:r>
      <w:r w:rsidRPr="00525F67">
        <w:rPr>
          <w:rFonts w:cstheme="minorHAnsi"/>
        </w:rPr>
        <w:t>s</w:t>
      </w:r>
      <w:proofErr w:type="spellEnd"/>
      <w:r w:rsidRPr="00525F67">
        <w:rPr>
          <w:rFonts w:cstheme="minorHAnsi"/>
        </w:rPr>
        <w:t xml:space="preserve"> ont également critiqué l</w:t>
      </w:r>
      <w:r>
        <w:rPr>
          <w:rFonts w:cstheme="minorHAnsi"/>
        </w:rPr>
        <w:t>e pouvoir discrétionnaire</w:t>
      </w:r>
      <w:r w:rsidRPr="00525F67">
        <w:rPr>
          <w:rFonts w:cstheme="minorHAnsi"/>
        </w:rPr>
        <w:t xml:space="preserve"> accordée à l'Office fédéral de la police (</w:t>
      </w:r>
      <w:proofErr w:type="spellStart"/>
      <w:r>
        <w:rPr>
          <w:rFonts w:cstheme="minorHAnsi"/>
        </w:rPr>
        <w:t>f</w:t>
      </w:r>
      <w:r w:rsidRPr="00525F67">
        <w:rPr>
          <w:rFonts w:cstheme="minorHAnsi"/>
        </w:rPr>
        <w:t>edpol</w:t>
      </w:r>
      <w:proofErr w:type="spellEnd"/>
      <w:r>
        <w:rPr>
          <w:rFonts w:cstheme="minorHAnsi"/>
        </w:rPr>
        <w:t xml:space="preserve">) ainsi </w:t>
      </w:r>
      <w:r w:rsidRPr="00525F67">
        <w:rPr>
          <w:rFonts w:cstheme="minorHAnsi"/>
        </w:rPr>
        <w:t xml:space="preserve">que le manque de garanties </w:t>
      </w:r>
      <w:r>
        <w:rPr>
          <w:rFonts w:cstheme="minorHAnsi"/>
        </w:rPr>
        <w:t>en matière d</w:t>
      </w:r>
      <w:r w:rsidRPr="00525F67">
        <w:rPr>
          <w:rFonts w:cstheme="minorHAnsi"/>
        </w:rPr>
        <w:t>e contrôle judiciaire.</w:t>
      </w:r>
    </w:p>
    <w:p w14:paraId="46863CE6" w14:textId="43B9FB5B" w:rsidR="00F46EB6" w:rsidRPr="00525F67" w:rsidRDefault="00A02E35" w:rsidP="00F03F29">
      <w:pPr>
        <w:spacing w:line="240" w:lineRule="auto"/>
        <w:rPr>
          <w:rFonts w:cstheme="minorHAnsi"/>
        </w:rPr>
      </w:pPr>
      <w:r>
        <w:rPr>
          <w:rFonts w:cstheme="minorHAnsi"/>
        </w:rPr>
        <w:br/>
      </w:r>
      <w:r w:rsidR="00F46EB6" w:rsidRPr="00525F67">
        <w:rPr>
          <w:rFonts w:cstheme="minorHAnsi"/>
        </w:rPr>
        <w:t>Les expert</w:t>
      </w:r>
      <w:r w:rsidR="00F46EB6" w:rsidRPr="00525F67">
        <w:rPr>
          <w:rFonts w:cstheme="minorHAnsi"/>
        </w:rPr>
        <w:sym w:font="Symbol" w:char="F0D7"/>
      </w:r>
      <w:r w:rsidR="00F46EB6" w:rsidRPr="00525F67">
        <w:rPr>
          <w:rFonts w:cstheme="minorHAnsi"/>
        </w:rPr>
        <w:t>e</w:t>
      </w:r>
      <w:r w:rsidR="00F46EB6" w:rsidRPr="00525F67">
        <w:rPr>
          <w:rFonts w:cstheme="minorHAnsi"/>
        </w:rPr>
        <w:sym w:font="Symbol" w:char="F0D7"/>
      </w:r>
      <w:r w:rsidR="00F46EB6" w:rsidRPr="00525F67">
        <w:rPr>
          <w:rFonts w:cstheme="minorHAnsi"/>
        </w:rPr>
        <w:t>s ont critiqué le fait que l'assignation à résidence prévue par la loi est soumise à des normes et des garanties moins strictes que la privation de liberté en vertu du droit pénal. Cette loi contourne ainsi les garanties et conditions procédurales consacrées par la CEDH.</w:t>
      </w:r>
    </w:p>
    <w:p w14:paraId="26DB18AD" w14:textId="77777777" w:rsidR="00F46EB6" w:rsidRPr="00525F67" w:rsidRDefault="00F46EB6" w:rsidP="00F03F29">
      <w:pPr>
        <w:spacing w:line="240" w:lineRule="auto"/>
        <w:rPr>
          <w:rFonts w:cstheme="minorHAnsi"/>
        </w:rPr>
      </w:pPr>
    </w:p>
    <w:p w14:paraId="3E4E6583" w14:textId="77777777" w:rsidR="00F46EB6" w:rsidRPr="00525F67" w:rsidRDefault="00F46EB6" w:rsidP="00F03F29">
      <w:pPr>
        <w:spacing w:line="240" w:lineRule="auto"/>
        <w:rPr>
          <w:rFonts w:cstheme="minorHAnsi"/>
          <w:b/>
          <w:bCs/>
        </w:rPr>
      </w:pPr>
      <w:r w:rsidRPr="00525F67">
        <w:rPr>
          <w:rFonts w:cstheme="minorHAnsi"/>
        </w:rPr>
        <w:t>Les rapporteur</w:t>
      </w:r>
      <w:r w:rsidRPr="00525F67">
        <w:rPr>
          <w:rFonts w:cstheme="minorHAnsi"/>
        </w:rPr>
        <w:sym w:font="Symbol" w:char="F0D7"/>
      </w:r>
      <w:proofErr w:type="spellStart"/>
      <w:r w:rsidRPr="00525F67">
        <w:rPr>
          <w:rFonts w:cstheme="minorHAnsi"/>
        </w:rPr>
        <w:t>euse</w:t>
      </w:r>
      <w:proofErr w:type="spellEnd"/>
      <w:r w:rsidRPr="00525F67">
        <w:rPr>
          <w:rFonts w:cstheme="minorHAnsi"/>
        </w:rPr>
        <w:sym w:font="Symbol" w:char="F0D7"/>
      </w:r>
      <w:r w:rsidRPr="00525F67">
        <w:rPr>
          <w:rFonts w:cstheme="minorHAnsi"/>
        </w:rPr>
        <w:t xml:space="preserve">s ont souligné l'impact profond de ces mesures sur les droits des enfants, en particulier le droit à l'éducation. </w:t>
      </w:r>
      <w:r>
        <w:rPr>
          <w:rFonts w:cstheme="minorHAnsi"/>
        </w:rPr>
        <w:t xml:space="preserve">Ils </w:t>
      </w:r>
      <w:r w:rsidRPr="00525F67">
        <w:rPr>
          <w:rFonts w:cstheme="minorHAnsi"/>
        </w:rPr>
        <w:t>ont exprimé leur inquiétude quant aux conséquences possibles de la stigmatisation des mineur</w:t>
      </w:r>
      <w:r w:rsidRPr="00525F67">
        <w:rPr>
          <w:rFonts w:cstheme="minorHAnsi"/>
        </w:rPr>
        <w:sym w:font="Symbol" w:char="F0D7"/>
      </w:r>
      <w:r w:rsidRPr="00525F67">
        <w:rPr>
          <w:rFonts w:cstheme="minorHAnsi"/>
        </w:rPr>
        <w:t>e</w:t>
      </w:r>
      <w:r w:rsidRPr="00525F67">
        <w:rPr>
          <w:rFonts w:cstheme="minorHAnsi"/>
        </w:rPr>
        <w:sym w:font="Symbol" w:char="F0D7"/>
      </w:r>
      <w:r w:rsidRPr="00525F67">
        <w:rPr>
          <w:rFonts w:cstheme="minorHAnsi"/>
        </w:rPr>
        <w:t xml:space="preserve">s en raison de leur éventuelle classification en tant que "terroristes </w:t>
      </w:r>
      <w:proofErr w:type="spellStart"/>
      <w:r w:rsidRPr="00525F67">
        <w:rPr>
          <w:rFonts w:cstheme="minorHAnsi"/>
        </w:rPr>
        <w:t>potentiel</w:t>
      </w:r>
      <w:r>
        <w:rPr>
          <w:rStyle w:val="hgkelc"/>
        </w:rPr>
        <w:t>·le·</w:t>
      </w:r>
      <w:r w:rsidRPr="00525F67">
        <w:rPr>
          <w:rFonts w:cstheme="minorHAnsi"/>
        </w:rPr>
        <w:t>s</w:t>
      </w:r>
      <w:proofErr w:type="spellEnd"/>
      <w:r w:rsidRPr="00525F67">
        <w:rPr>
          <w:rFonts w:cstheme="minorHAnsi"/>
        </w:rPr>
        <w:t>" et de la marginalisation et du traitement discriminatoire qui en résultent dans différents contextes sociaux.</w:t>
      </w:r>
    </w:p>
    <w:p w14:paraId="60992310" w14:textId="77777777" w:rsidR="00F46EB6" w:rsidRDefault="00F46EB6" w:rsidP="00F03F29">
      <w:pPr>
        <w:spacing w:line="240" w:lineRule="auto"/>
        <w:rPr>
          <w:rFonts w:cstheme="minorHAnsi"/>
          <w:bCs/>
        </w:rPr>
      </w:pPr>
    </w:p>
    <w:p w14:paraId="6DE2F9CC" w14:textId="77777777" w:rsidR="00F46EB6" w:rsidRDefault="001A4BA2" w:rsidP="00F03F29">
      <w:pPr>
        <w:spacing w:line="240" w:lineRule="auto"/>
        <w:rPr>
          <w:rFonts w:cstheme="minorHAnsi"/>
          <w:bCs/>
        </w:rPr>
      </w:pPr>
      <w:hyperlink r:id="rId8" w:history="1">
        <w:r w:rsidR="00F46EB6" w:rsidRPr="00F46EB6">
          <w:rPr>
            <w:rStyle w:val="Lienhypertexte"/>
            <w:rFonts w:cstheme="minorHAnsi"/>
            <w:bCs/>
            <w:lang w:val="fr-FR"/>
          </w:rPr>
          <w:t>Déclaration des rapporteurs spéciaux et rapporteuses spéciales de l'ONU, mai 2020</w:t>
        </w:r>
      </w:hyperlink>
      <w:r w:rsidR="00F46EB6">
        <w:rPr>
          <w:rFonts w:cstheme="minorHAnsi"/>
          <w:bCs/>
        </w:rPr>
        <w:t>.</w:t>
      </w:r>
    </w:p>
    <w:p w14:paraId="3795F0E9" w14:textId="77777777" w:rsidR="00F46EB6" w:rsidRPr="00525F67" w:rsidRDefault="00F46EB6" w:rsidP="00F03F29">
      <w:pPr>
        <w:spacing w:line="240" w:lineRule="auto"/>
        <w:rPr>
          <w:rFonts w:cstheme="minorHAnsi"/>
          <w:b/>
          <w:bCs/>
        </w:rPr>
      </w:pPr>
    </w:p>
    <w:p w14:paraId="0E47E068" w14:textId="77777777" w:rsidR="00F46EB6" w:rsidRPr="00F46EB6" w:rsidRDefault="00F46EB6" w:rsidP="00F46EB6">
      <w:pPr>
        <w:pStyle w:val="Titre1"/>
        <w:spacing w:after="120"/>
        <w:rPr>
          <w:sz w:val="28"/>
          <w:szCs w:val="22"/>
        </w:rPr>
      </w:pPr>
      <w:r w:rsidRPr="00F46EB6">
        <w:rPr>
          <w:sz w:val="28"/>
          <w:szCs w:val="22"/>
        </w:rPr>
        <w:t>Un modèle pour les gouvernements autoritaires</w:t>
      </w:r>
    </w:p>
    <w:p w14:paraId="0EA0338A" w14:textId="77777777" w:rsidR="00F46EB6" w:rsidRPr="00525F67" w:rsidRDefault="00F46EB6" w:rsidP="00F03F29">
      <w:pPr>
        <w:spacing w:line="240" w:lineRule="auto"/>
        <w:rPr>
          <w:rFonts w:cstheme="minorHAnsi"/>
        </w:rPr>
      </w:pPr>
      <w:r w:rsidRPr="00525F67">
        <w:rPr>
          <w:rFonts w:cstheme="minorHAnsi"/>
        </w:rPr>
        <w:t xml:space="preserve">Dans une autre </w:t>
      </w:r>
      <w:hyperlink r:id="rId9" w:history="1">
        <w:r w:rsidRPr="00F46EB6">
          <w:rPr>
            <w:rStyle w:val="Lienhypertexte"/>
            <w:rFonts w:cstheme="minorHAnsi"/>
            <w:lang w:val="fr-FR"/>
          </w:rPr>
          <w:t>déclaration</w:t>
        </w:r>
      </w:hyperlink>
      <w:r w:rsidRPr="00525F67">
        <w:rPr>
          <w:rFonts w:cstheme="minorHAnsi"/>
        </w:rPr>
        <w:t xml:space="preserve">, </w:t>
      </w:r>
      <w:r w:rsidRPr="001756AD">
        <w:rPr>
          <w:rFonts w:cstheme="minorHAnsi"/>
          <w:b/>
          <w:bCs/>
        </w:rPr>
        <w:t>les rapporteur</w:t>
      </w:r>
      <w:r w:rsidRPr="001756AD">
        <w:rPr>
          <w:rFonts w:cstheme="minorHAnsi"/>
          <w:b/>
          <w:bCs/>
        </w:rPr>
        <w:sym w:font="Symbol" w:char="F0D7"/>
      </w:r>
      <w:proofErr w:type="spellStart"/>
      <w:r w:rsidRPr="001756AD">
        <w:rPr>
          <w:rFonts w:cstheme="minorHAnsi"/>
          <w:b/>
          <w:bCs/>
        </w:rPr>
        <w:t>eu</w:t>
      </w:r>
      <w:r>
        <w:rPr>
          <w:rFonts w:cstheme="minorHAnsi"/>
          <w:b/>
          <w:bCs/>
        </w:rPr>
        <w:t>se</w:t>
      </w:r>
      <w:proofErr w:type="spellEnd"/>
      <w:r w:rsidRPr="001756AD">
        <w:rPr>
          <w:rFonts w:cstheme="minorHAnsi"/>
          <w:b/>
          <w:bCs/>
        </w:rPr>
        <w:sym w:font="Symbol" w:char="F0D7"/>
      </w:r>
      <w:r w:rsidRPr="001756AD">
        <w:rPr>
          <w:rFonts w:cstheme="minorHAnsi"/>
          <w:b/>
          <w:bCs/>
        </w:rPr>
        <w:t>s spéciaux</w:t>
      </w:r>
      <w:r w:rsidRPr="001756AD">
        <w:rPr>
          <w:rFonts w:cstheme="minorHAnsi"/>
          <w:b/>
          <w:bCs/>
        </w:rPr>
        <w:sym w:font="Symbol" w:char="F0D7"/>
      </w:r>
      <w:r>
        <w:rPr>
          <w:rFonts w:cstheme="minorHAnsi"/>
          <w:b/>
          <w:bCs/>
        </w:rPr>
        <w:t>a</w:t>
      </w:r>
      <w:r w:rsidRPr="001756AD">
        <w:rPr>
          <w:rFonts w:cstheme="minorHAnsi"/>
          <w:b/>
          <w:bCs/>
        </w:rPr>
        <w:t>les</w:t>
      </w:r>
      <w:r w:rsidRPr="00525F67">
        <w:rPr>
          <w:rFonts w:cstheme="minorHAnsi"/>
        </w:rPr>
        <w:t xml:space="preserve"> ont noté que la Suisse ne leur avait pas fourni de </w:t>
      </w:r>
      <w:r>
        <w:rPr>
          <w:rFonts w:cstheme="minorHAnsi"/>
        </w:rPr>
        <w:t>« </w:t>
      </w:r>
      <w:r w:rsidRPr="00525F67">
        <w:rPr>
          <w:rFonts w:cstheme="minorHAnsi"/>
        </w:rPr>
        <w:t>réponse satisfaisante</w:t>
      </w:r>
      <w:r>
        <w:rPr>
          <w:rFonts w:cstheme="minorHAnsi"/>
        </w:rPr>
        <w:t> »</w:t>
      </w:r>
      <w:r w:rsidRPr="00525F67">
        <w:rPr>
          <w:rFonts w:cstheme="minorHAnsi"/>
        </w:rPr>
        <w:t xml:space="preserve"> quant à leurs préoccupations concernant l'incompatibilité du projet de loi avec les droits humains. </w:t>
      </w:r>
      <w:r>
        <w:rPr>
          <w:rFonts w:cstheme="minorHAnsi"/>
        </w:rPr>
        <w:t>Ils</w:t>
      </w:r>
      <w:r w:rsidRPr="00525F67">
        <w:rPr>
          <w:rFonts w:cstheme="minorHAnsi"/>
        </w:rPr>
        <w:t xml:space="preserve"> ont déclaré que « la définition excessivement large de l'activité terroriste » pourrait même englober des actes légitimes visant à influencer ou à modifier l'ordre étatique, tel</w:t>
      </w:r>
      <w:r>
        <w:rPr>
          <w:rFonts w:cstheme="minorHAnsi"/>
        </w:rPr>
        <w:t>le</w:t>
      </w:r>
      <w:r w:rsidRPr="00525F67">
        <w:rPr>
          <w:rFonts w:cstheme="minorHAnsi"/>
        </w:rPr>
        <w:t>s que les activités légitimes des journalistes, de la société civile et des militant</w:t>
      </w:r>
      <w:r w:rsidRPr="00525F67">
        <w:rPr>
          <w:rFonts w:cstheme="minorHAnsi"/>
        </w:rPr>
        <w:sym w:font="Symbol" w:char="F0D7"/>
      </w:r>
      <w:r w:rsidRPr="00525F67">
        <w:rPr>
          <w:rFonts w:cstheme="minorHAnsi"/>
        </w:rPr>
        <w:t>e</w:t>
      </w:r>
      <w:r w:rsidRPr="00525F67">
        <w:rPr>
          <w:rFonts w:cstheme="minorHAnsi"/>
        </w:rPr>
        <w:sym w:font="Symbol" w:char="F0D7"/>
      </w:r>
      <w:r w:rsidRPr="00525F67">
        <w:rPr>
          <w:rFonts w:cstheme="minorHAnsi"/>
        </w:rPr>
        <w:t>s politiques</w:t>
      </w:r>
      <w:r>
        <w:rPr>
          <w:rFonts w:cstheme="minorHAnsi"/>
        </w:rPr>
        <w:t> »</w:t>
      </w:r>
      <w:r w:rsidRPr="00525F67">
        <w:rPr>
          <w:rFonts w:cstheme="minorHAnsi"/>
        </w:rPr>
        <w:t xml:space="preserve">. Par conséquent, cette loi pourrait « créer un dangereux précédent et risque de servir de modèle aux gouvernements autoritaires qui cherchent à réprimer la dissidence politique, notamment par la torture et autres peines ou traitements cruels, inhumains ou dégradants". </w:t>
      </w:r>
    </w:p>
    <w:p w14:paraId="399234EA" w14:textId="77777777" w:rsidR="00F46EB6" w:rsidRPr="00525F67" w:rsidRDefault="00F46EB6" w:rsidP="00F03F29">
      <w:pPr>
        <w:spacing w:line="240" w:lineRule="auto"/>
        <w:rPr>
          <w:rFonts w:cstheme="minorHAnsi"/>
        </w:rPr>
      </w:pPr>
      <w:r w:rsidRPr="00525F67">
        <w:rPr>
          <w:rFonts w:cstheme="minorHAnsi"/>
        </w:rPr>
        <w:t>Les expert</w:t>
      </w:r>
      <w:r w:rsidRPr="00525F67">
        <w:rPr>
          <w:rFonts w:cstheme="minorHAnsi"/>
        </w:rPr>
        <w:sym w:font="Symbol" w:char="F0D7"/>
      </w:r>
      <w:r w:rsidRPr="00525F67">
        <w:rPr>
          <w:rFonts w:cstheme="minorHAnsi"/>
        </w:rPr>
        <w:t>e</w:t>
      </w:r>
      <w:r w:rsidRPr="00525F67">
        <w:rPr>
          <w:rFonts w:cstheme="minorHAnsi"/>
        </w:rPr>
        <w:sym w:font="Symbol" w:char="F0D7"/>
      </w:r>
      <w:r w:rsidRPr="00525F67">
        <w:rPr>
          <w:rFonts w:cstheme="minorHAnsi"/>
        </w:rPr>
        <w:t xml:space="preserve">s ont donc une nouvelle fois appelé les parlementaires à rejeter une loi qui </w:t>
      </w:r>
      <w:r>
        <w:rPr>
          <w:rFonts w:cstheme="minorHAnsi"/>
        </w:rPr>
        <w:t>« </w:t>
      </w:r>
      <w:r w:rsidRPr="00525F67">
        <w:rPr>
          <w:rFonts w:cstheme="minorHAnsi"/>
        </w:rPr>
        <w:t xml:space="preserve">est destinée à devenir une </w:t>
      </w:r>
      <w:proofErr w:type="spellStart"/>
      <w:r w:rsidRPr="00525F67">
        <w:rPr>
          <w:rFonts w:cstheme="minorHAnsi"/>
        </w:rPr>
        <w:t>tache</w:t>
      </w:r>
      <w:proofErr w:type="spellEnd"/>
      <w:r w:rsidRPr="00525F67">
        <w:rPr>
          <w:rFonts w:cstheme="minorHAnsi"/>
        </w:rPr>
        <w:t xml:space="preserve"> majeure sur le bilan autrement solide de la Suisse en matière de droits </w:t>
      </w:r>
      <w:r>
        <w:rPr>
          <w:rFonts w:cstheme="minorHAnsi"/>
        </w:rPr>
        <w:t>humains »</w:t>
      </w:r>
      <w:r w:rsidRPr="00525F67">
        <w:rPr>
          <w:rFonts w:cstheme="minorHAnsi"/>
        </w:rPr>
        <w:t>.</w:t>
      </w:r>
    </w:p>
    <w:p w14:paraId="3904BAC4" w14:textId="77777777" w:rsidR="00F46EB6" w:rsidRPr="00525F67" w:rsidRDefault="00F46EB6" w:rsidP="00F03F29">
      <w:pPr>
        <w:spacing w:line="240" w:lineRule="auto"/>
        <w:rPr>
          <w:rFonts w:cstheme="minorHAnsi"/>
        </w:rPr>
      </w:pPr>
    </w:p>
    <w:p w14:paraId="057DCF2B" w14:textId="77777777" w:rsidR="00F46EB6" w:rsidRPr="00525F67" w:rsidRDefault="00F46EB6" w:rsidP="00F03F29">
      <w:pPr>
        <w:spacing w:line="240" w:lineRule="auto"/>
        <w:rPr>
          <w:rFonts w:cstheme="minorHAnsi"/>
        </w:rPr>
      </w:pPr>
      <w:r w:rsidRPr="001756AD">
        <w:rPr>
          <w:rFonts w:cstheme="minorHAnsi"/>
          <w:b/>
          <w:bCs/>
        </w:rPr>
        <w:t>L'expert de l'ONU en matière de torture, Nils Melzer,</w:t>
      </w:r>
      <w:r w:rsidRPr="00525F67">
        <w:rPr>
          <w:rFonts w:cstheme="minorHAnsi"/>
        </w:rPr>
        <w:t xml:space="preserve"> a déclaré à la </w:t>
      </w:r>
      <w:hyperlink r:id="rId10" w:history="1">
        <w:r w:rsidRPr="00F46EB6">
          <w:rPr>
            <w:rStyle w:val="Lienhypertexte"/>
            <w:rFonts w:cstheme="minorHAnsi"/>
            <w:lang w:val="fr-FR"/>
          </w:rPr>
          <w:t>SRF</w:t>
        </w:r>
      </w:hyperlink>
      <w:r w:rsidRPr="00525F67">
        <w:rPr>
          <w:rFonts w:cstheme="minorHAnsi"/>
        </w:rPr>
        <w:t xml:space="preserve"> : « La nouvelle définition du terrorisme en Suisse va au-delà de ce qui est acceptable dans un État de droit ». Comme le terrorisme est défini sans violence, en principe, toute activité politique qui déplaît au gouvernement peut être interprétée comme une activité terroriste, a déclaré M. Melzer. </w:t>
      </w:r>
    </w:p>
    <w:p w14:paraId="46814F8E" w14:textId="77777777" w:rsidR="00F46EB6" w:rsidRDefault="00F46EB6" w:rsidP="00F03F29">
      <w:pPr>
        <w:spacing w:line="240" w:lineRule="auto"/>
        <w:rPr>
          <w:rFonts w:cstheme="minorHAnsi"/>
        </w:rPr>
      </w:pPr>
    </w:p>
    <w:p w14:paraId="69D5D77F" w14:textId="77777777" w:rsidR="00F46EB6" w:rsidRPr="008A0F54" w:rsidRDefault="001A4BA2" w:rsidP="00F03F29">
      <w:pPr>
        <w:spacing w:line="240" w:lineRule="auto"/>
        <w:rPr>
          <w:rFonts w:cstheme="minorHAnsi"/>
          <w:color w:val="1F4E79"/>
        </w:rPr>
      </w:pPr>
      <w:hyperlink r:id="rId11" w:history="1">
        <w:r w:rsidR="00F46EB6" w:rsidRPr="00F46EB6">
          <w:rPr>
            <w:rStyle w:val="Lienhypertexte"/>
            <w:rFonts w:cstheme="minorHAnsi"/>
            <w:lang w:val="fr-FR"/>
          </w:rPr>
          <w:t>Deuxième déclaration des rapporteurs spéciaux et rapporteuses spéciales des Nations unies, septembre 2020 (anglais).</w:t>
        </w:r>
      </w:hyperlink>
    </w:p>
    <w:p w14:paraId="1426C4FA" w14:textId="77777777" w:rsidR="00F46EB6" w:rsidRPr="00F46EB6" w:rsidRDefault="00F46EB6" w:rsidP="00F46EB6">
      <w:pPr>
        <w:pStyle w:val="Titre1"/>
        <w:spacing w:after="120"/>
        <w:rPr>
          <w:sz w:val="28"/>
          <w:szCs w:val="22"/>
        </w:rPr>
      </w:pPr>
      <w:r w:rsidRPr="00F46EB6">
        <w:rPr>
          <w:sz w:val="28"/>
          <w:szCs w:val="22"/>
        </w:rPr>
        <w:t>Violation de la Convention relative aux droits de l'enfant</w:t>
      </w:r>
    </w:p>
    <w:p w14:paraId="1C4114D1" w14:textId="77777777" w:rsidR="00F46EB6" w:rsidRPr="00525F67" w:rsidRDefault="00F46EB6" w:rsidP="00F03F29">
      <w:pPr>
        <w:spacing w:line="240" w:lineRule="auto"/>
        <w:rPr>
          <w:rFonts w:cstheme="minorHAnsi"/>
          <w:lang w:eastAsia="fr-FR"/>
        </w:rPr>
      </w:pPr>
      <w:r w:rsidRPr="00525F67">
        <w:rPr>
          <w:rFonts w:cstheme="minorHAnsi"/>
        </w:rPr>
        <w:t xml:space="preserve">Un membre et ancien président du </w:t>
      </w:r>
      <w:r w:rsidRPr="00525F67">
        <w:rPr>
          <w:rFonts w:cstheme="minorHAnsi"/>
          <w:b/>
          <w:bCs/>
        </w:rPr>
        <w:t>Comité des droits de l'enfant des Nations unies</w:t>
      </w:r>
      <w:r w:rsidRPr="00525F67">
        <w:rPr>
          <w:rFonts w:cstheme="minorHAnsi"/>
        </w:rPr>
        <w:t xml:space="preserve"> a vivement critiqué le projet de loi : « </w:t>
      </w:r>
      <w:r>
        <w:rPr>
          <w:rFonts w:cstheme="minorHAnsi"/>
        </w:rPr>
        <w:t>L</w:t>
      </w:r>
      <w:r w:rsidRPr="00161776">
        <w:rPr>
          <w:rFonts w:cstheme="minorHAnsi"/>
        </w:rPr>
        <w:t xml:space="preserve">a Suisse est déjà critiquée par le Comité des droits de l’enfant pour son seuil d’intervention pénale en dessous des standards internationaux (10 ans au lieu de 14 ans). Permettre à la police d’intervenir sans infraction dès 12 ans est une nouvelle violation des obligations helvétiques à l’égard de ses enfants. </w:t>
      </w:r>
      <w:r w:rsidRPr="00525F67">
        <w:rPr>
          <w:rFonts w:cstheme="minorHAnsi"/>
          <w:lang w:eastAsia="fr-FR"/>
        </w:rPr>
        <w:t xml:space="preserve">», </w:t>
      </w:r>
      <w:r w:rsidRPr="00525F67">
        <w:rPr>
          <w:rFonts w:cstheme="minorHAnsi"/>
        </w:rPr>
        <w:t xml:space="preserve">découlant de la Convention relative aux droits de l'enfant, que la Suisse a ratifiée. </w:t>
      </w:r>
    </w:p>
    <w:p w14:paraId="2D411D39" w14:textId="77777777" w:rsidR="00F46EB6" w:rsidRPr="00525F67" w:rsidRDefault="00F46EB6" w:rsidP="00F03F29">
      <w:pPr>
        <w:spacing w:line="240" w:lineRule="auto"/>
        <w:rPr>
          <w:rFonts w:cstheme="minorHAnsi"/>
          <w:lang w:eastAsia="fr-FR"/>
        </w:rPr>
      </w:pPr>
      <w:r w:rsidRPr="00525F67">
        <w:rPr>
          <w:rFonts w:cstheme="minorHAnsi"/>
          <w:lang w:eastAsia="fr-FR"/>
        </w:rPr>
        <w:t>Selon les expert</w:t>
      </w:r>
      <w:r w:rsidRPr="00525F67">
        <w:rPr>
          <w:rFonts w:cstheme="minorHAnsi"/>
        </w:rPr>
        <w:sym w:font="Symbol" w:char="F0D7"/>
      </w:r>
      <w:r w:rsidRPr="00525F67">
        <w:rPr>
          <w:rFonts w:cstheme="minorHAnsi"/>
        </w:rPr>
        <w:t>e</w:t>
      </w:r>
      <w:r w:rsidRPr="00525F67">
        <w:rPr>
          <w:rFonts w:cstheme="minorHAnsi"/>
        </w:rPr>
        <w:sym w:font="Symbol" w:char="F0D7"/>
      </w:r>
      <w:r w:rsidRPr="00525F67">
        <w:rPr>
          <w:rFonts w:cstheme="minorHAnsi"/>
          <w:lang w:eastAsia="fr-FR"/>
        </w:rPr>
        <w:t>s des droits de l'enfant,</w:t>
      </w:r>
      <w:r w:rsidRPr="00525F67">
        <w:rPr>
          <w:rFonts w:cstheme="minorHAnsi"/>
          <w:b/>
          <w:bCs/>
          <w:lang w:eastAsia="fr-FR"/>
        </w:rPr>
        <w:t xml:space="preserve"> « </w:t>
      </w:r>
      <w:r>
        <w:rPr>
          <w:rFonts w:cstheme="minorHAnsi"/>
          <w:lang w:eastAsia="fr-FR"/>
        </w:rPr>
        <w:t>u</w:t>
      </w:r>
      <w:r w:rsidRPr="00525F67">
        <w:rPr>
          <w:rFonts w:cstheme="minorHAnsi"/>
          <w:lang w:eastAsia="fr-FR"/>
        </w:rPr>
        <w:t>ne stratégie efficace de lutte contre le terrorisme ne doit pas faire fi des droits humains, encore moins des droits de l’enfant ». Au contraire, elle doit « respecter ces droits et prendre en compte les besoins particuliers des adolescents, leur intégration, et leur éducation ». Les</w:t>
      </w:r>
      <w:r>
        <w:rPr>
          <w:rFonts w:cstheme="minorHAnsi"/>
          <w:lang w:eastAsia="fr-FR"/>
        </w:rPr>
        <w:t xml:space="preserve"> </w:t>
      </w:r>
      <w:r w:rsidRPr="00525F67">
        <w:rPr>
          <w:rFonts w:cstheme="minorHAnsi"/>
          <w:lang w:eastAsia="fr-FR"/>
        </w:rPr>
        <w:t>expert</w:t>
      </w:r>
      <w:r w:rsidRPr="00525F67">
        <w:rPr>
          <w:rFonts w:cstheme="minorHAnsi"/>
        </w:rPr>
        <w:sym w:font="Symbol" w:char="F0D7"/>
      </w:r>
      <w:r w:rsidRPr="00525F67">
        <w:rPr>
          <w:rFonts w:cstheme="minorHAnsi"/>
        </w:rPr>
        <w:t>e</w:t>
      </w:r>
      <w:r w:rsidRPr="00525F67">
        <w:rPr>
          <w:rFonts w:cstheme="minorHAnsi"/>
        </w:rPr>
        <w:sym w:font="Symbol" w:char="F0D7"/>
      </w:r>
      <w:r w:rsidRPr="00525F67">
        <w:rPr>
          <w:rFonts w:cstheme="minorHAnsi"/>
          <w:lang w:eastAsia="fr-FR"/>
        </w:rPr>
        <w:t>s</w:t>
      </w:r>
      <w:r>
        <w:rPr>
          <w:rFonts w:cstheme="minorHAnsi"/>
          <w:lang w:eastAsia="fr-FR"/>
        </w:rPr>
        <w:t xml:space="preserve"> appellent donc les</w:t>
      </w:r>
      <w:r w:rsidRPr="00525F67">
        <w:rPr>
          <w:rFonts w:cstheme="minorHAnsi"/>
          <w:lang w:eastAsia="fr-FR"/>
        </w:rPr>
        <w:t xml:space="preserve"> </w:t>
      </w:r>
      <w:proofErr w:type="spellStart"/>
      <w:r w:rsidRPr="00525F67">
        <w:rPr>
          <w:rFonts w:cstheme="minorHAnsi"/>
          <w:lang w:eastAsia="fr-FR"/>
        </w:rPr>
        <w:t>politicien</w:t>
      </w:r>
      <w:r>
        <w:rPr>
          <w:rStyle w:val="hgkelc"/>
        </w:rPr>
        <w:t>·ne·</w:t>
      </w:r>
      <w:r w:rsidRPr="00525F67">
        <w:rPr>
          <w:rFonts w:cstheme="minorHAnsi"/>
          <w:lang w:eastAsia="fr-FR"/>
        </w:rPr>
        <w:t>s</w:t>
      </w:r>
      <w:proofErr w:type="spellEnd"/>
      <w:r w:rsidRPr="00525F67">
        <w:rPr>
          <w:rFonts w:cstheme="minorHAnsi"/>
          <w:lang w:eastAsia="fr-FR"/>
        </w:rPr>
        <w:t xml:space="preserve"> à </w:t>
      </w:r>
      <w:r w:rsidRPr="00525F67">
        <w:rPr>
          <w:rFonts w:cstheme="minorHAnsi"/>
        </w:rPr>
        <w:t>revoir leur copie.</w:t>
      </w:r>
    </w:p>
    <w:p w14:paraId="360AEF32" w14:textId="77777777" w:rsidR="00F46EB6" w:rsidRPr="00525F67" w:rsidRDefault="00F46EB6" w:rsidP="00F03F29">
      <w:pPr>
        <w:spacing w:line="240" w:lineRule="auto"/>
        <w:rPr>
          <w:rFonts w:cstheme="minorHAnsi"/>
          <w:lang w:eastAsia="fr-FR"/>
        </w:rPr>
      </w:pPr>
    </w:p>
    <w:p w14:paraId="5C8722AF" w14:textId="77777777" w:rsidR="00F46EB6" w:rsidRDefault="001A4BA2" w:rsidP="00F03F29">
      <w:pPr>
        <w:spacing w:after="240" w:line="240" w:lineRule="auto"/>
        <w:rPr>
          <w:rFonts w:cstheme="minorHAnsi"/>
        </w:rPr>
      </w:pPr>
      <w:hyperlink r:id="rId12" w:history="1">
        <w:r w:rsidR="00F46EB6" w:rsidRPr="00F46EB6">
          <w:rPr>
            <w:rStyle w:val="Lienhypertexte"/>
            <w:rFonts w:cstheme="minorHAnsi"/>
            <w:lang w:val="fr-FR"/>
          </w:rPr>
          <w:t>Opinion des membres suisses du Comité des droits de l'enfant des Nations unies, mai 2020.</w:t>
        </w:r>
      </w:hyperlink>
    </w:p>
    <w:p w14:paraId="474A8564" w14:textId="77777777" w:rsidR="00F46EB6" w:rsidRPr="00F46EB6" w:rsidRDefault="00F46EB6" w:rsidP="00F46EB6">
      <w:pPr>
        <w:pStyle w:val="Titre1"/>
        <w:spacing w:after="120"/>
        <w:rPr>
          <w:sz w:val="28"/>
          <w:szCs w:val="22"/>
        </w:rPr>
      </w:pPr>
      <w:r w:rsidRPr="00F46EB6">
        <w:rPr>
          <w:sz w:val="28"/>
          <w:szCs w:val="22"/>
        </w:rPr>
        <w:t>Porte ouverte à l'arbitraire</w:t>
      </w:r>
    </w:p>
    <w:p w14:paraId="4E26141D" w14:textId="50ECB39D" w:rsidR="00F46EB6" w:rsidRPr="00525F67" w:rsidRDefault="00F46EB6" w:rsidP="00F03F29">
      <w:pPr>
        <w:spacing w:line="240" w:lineRule="auto"/>
        <w:rPr>
          <w:rFonts w:cstheme="minorHAnsi"/>
          <w:lang w:eastAsia="fr-FR"/>
        </w:rPr>
      </w:pPr>
      <w:r w:rsidRPr="00525F67">
        <w:rPr>
          <w:rFonts w:cstheme="minorHAnsi"/>
          <w:lang w:eastAsia="fr-FR"/>
        </w:rPr>
        <w:t xml:space="preserve">Peu avant le vote final au Parlement, plus de </w:t>
      </w:r>
      <w:r>
        <w:rPr>
          <w:rFonts w:cstheme="minorHAnsi"/>
          <w:b/>
          <w:bCs/>
          <w:lang w:eastAsia="fr-FR"/>
        </w:rPr>
        <w:t>soixante</w:t>
      </w:r>
      <w:r w:rsidRPr="00525F67">
        <w:rPr>
          <w:rFonts w:cstheme="minorHAnsi"/>
          <w:b/>
          <w:bCs/>
          <w:lang w:eastAsia="fr-FR"/>
        </w:rPr>
        <w:t xml:space="preserve"> </w:t>
      </w:r>
      <w:proofErr w:type="spellStart"/>
      <w:r w:rsidRPr="00525F67">
        <w:rPr>
          <w:rFonts w:cstheme="minorHAnsi"/>
          <w:b/>
          <w:bCs/>
          <w:lang w:eastAsia="fr-FR"/>
        </w:rPr>
        <w:t>professeur·e·s</w:t>
      </w:r>
      <w:proofErr w:type="spellEnd"/>
      <w:r w:rsidRPr="00525F67">
        <w:rPr>
          <w:rFonts w:cstheme="minorHAnsi"/>
          <w:b/>
          <w:bCs/>
          <w:lang w:eastAsia="fr-FR"/>
        </w:rPr>
        <w:t xml:space="preserve"> de droit de toutes les universités de Suisse</w:t>
      </w:r>
      <w:r w:rsidRPr="00525F67">
        <w:rPr>
          <w:rFonts w:cstheme="minorHAnsi"/>
          <w:lang w:eastAsia="fr-FR"/>
        </w:rPr>
        <w:t xml:space="preserve"> ont mis en garde contre le</w:t>
      </w:r>
      <w:r>
        <w:rPr>
          <w:rFonts w:cstheme="minorHAnsi"/>
          <w:lang w:eastAsia="fr-FR"/>
        </w:rPr>
        <w:t xml:space="preserve">s décisions arbitraires que cette loi pourrait entrainer. </w:t>
      </w:r>
      <w:r w:rsidRPr="00525F67">
        <w:rPr>
          <w:rFonts w:cstheme="minorHAnsi"/>
          <w:lang w:eastAsia="fr-FR"/>
        </w:rPr>
        <w:t xml:space="preserve">Au centre de leurs critiques se trouve le concept extrêmement imprécis et subjectif de « terroriste potentiel », qui « ouvre la porte à l'arbitraire ». Les </w:t>
      </w:r>
      <w:proofErr w:type="spellStart"/>
      <w:r w:rsidRPr="00525F67">
        <w:rPr>
          <w:rFonts w:cstheme="minorHAnsi"/>
          <w:lang w:eastAsia="fr-FR"/>
        </w:rPr>
        <w:t>professeur·e·s</w:t>
      </w:r>
      <w:proofErr w:type="spellEnd"/>
      <w:r w:rsidRPr="00525F67">
        <w:rPr>
          <w:rFonts w:cstheme="minorHAnsi"/>
          <w:lang w:eastAsia="fr-FR"/>
        </w:rPr>
        <w:t xml:space="preserve"> ont critiqué le manque de contrôle judiciaire, le manque de garanties pénales, </w:t>
      </w:r>
      <w:r w:rsidRPr="00525F67">
        <w:rPr>
          <w:rFonts w:cstheme="minorHAnsi"/>
          <w:lang w:eastAsia="fr-FR"/>
        </w:rPr>
        <w:lastRenderedPageBreak/>
        <w:t xml:space="preserve">l'introduction d'une présomption de dangerosité, l'incompatibilité de l'assignation à résidence avec la CEDH et l'affaiblissement de la protection des </w:t>
      </w:r>
      <w:proofErr w:type="spellStart"/>
      <w:r w:rsidRPr="00525F67">
        <w:rPr>
          <w:rFonts w:cstheme="minorHAnsi"/>
          <w:lang w:eastAsia="fr-FR"/>
        </w:rPr>
        <w:t>mineur</w:t>
      </w:r>
      <w:r>
        <w:rPr>
          <w:rStyle w:val="hgkelc"/>
        </w:rPr>
        <w:t>·e·</w:t>
      </w:r>
      <w:r w:rsidRPr="00525F67">
        <w:rPr>
          <w:rFonts w:cstheme="minorHAnsi"/>
          <w:lang w:eastAsia="fr-FR"/>
        </w:rPr>
        <w:t>s</w:t>
      </w:r>
      <w:proofErr w:type="spellEnd"/>
      <w:r w:rsidRPr="00525F67">
        <w:rPr>
          <w:rFonts w:cstheme="minorHAnsi"/>
          <w:lang w:eastAsia="fr-FR"/>
        </w:rPr>
        <w:t xml:space="preserve">. </w:t>
      </w:r>
      <w:r>
        <w:rPr>
          <w:rFonts w:cstheme="minorHAnsi"/>
          <w:lang w:eastAsia="fr-FR"/>
        </w:rPr>
        <w:t>Ils</w:t>
      </w:r>
      <w:r w:rsidRPr="00525F67">
        <w:rPr>
          <w:rFonts w:cstheme="minorHAnsi"/>
          <w:lang w:eastAsia="fr-FR"/>
        </w:rPr>
        <w:t xml:space="preserve"> ont également exprimé leur inquiétude quant aux possibles « violations des droits fondamentaux des </w:t>
      </w:r>
      <w:proofErr w:type="spellStart"/>
      <w:r w:rsidRPr="00525F67">
        <w:rPr>
          <w:rFonts w:cstheme="minorHAnsi"/>
          <w:lang w:eastAsia="fr-FR"/>
        </w:rPr>
        <w:t>individu</w:t>
      </w:r>
      <w:r>
        <w:rPr>
          <w:rStyle w:val="hgkelc"/>
        </w:rPr>
        <w:t>·e·</w:t>
      </w:r>
      <w:r w:rsidRPr="00525F67">
        <w:rPr>
          <w:rFonts w:cstheme="minorHAnsi"/>
          <w:lang w:eastAsia="fr-FR"/>
        </w:rPr>
        <w:t>s</w:t>
      </w:r>
      <w:proofErr w:type="spellEnd"/>
      <w:r w:rsidRPr="00525F67">
        <w:rPr>
          <w:rFonts w:cstheme="minorHAnsi"/>
          <w:lang w:eastAsia="fr-FR"/>
        </w:rPr>
        <w:t xml:space="preserve"> </w:t>
      </w:r>
      <w:proofErr w:type="spellStart"/>
      <w:r w:rsidRPr="00525F67">
        <w:rPr>
          <w:rFonts w:cstheme="minorHAnsi"/>
          <w:lang w:eastAsia="fr-FR"/>
        </w:rPr>
        <w:t>concerné</w:t>
      </w:r>
      <w:r>
        <w:rPr>
          <w:rStyle w:val="hgkelc"/>
        </w:rPr>
        <w:t>·e·</w:t>
      </w:r>
      <w:r w:rsidRPr="00525F67">
        <w:rPr>
          <w:rFonts w:cstheme="minorHAnsi"/>
          <w:lang w:eastAsia="fr-FR"/>
        </w:rPr>
        <w:t>s</w:t>
      </w:r>
      <w:proofErr w:type="spellEnd"/>
      <w:r w:rsidRPr="00525F67">
        <w:rPr>
          <w:rFonts w:cstheme="minorHAnsi"/>
          <w:lang w:eastAsia="fr-FR"/>
        </w:rPr>
        <w:t xml:space="preserve"> par les MPT » et qu'il pourrait y avoir un nombre élevé de « faux positifs », c’est-à-dire des personnes injustement accusées de « mener des activités terroristes ».</w:t>
      </w:r>
      <w:r w:rsidR="00A02E35">
        <w:rPr>
          <w:rFonts w:cstheme="minorHAnsi"/>
          <w:lang w:eastAsia="fr-FR"/>
        </w:rPr>
        <w:br/>
      </w:r>
    </w:p>
    <w:p w14:paraId="616A7E50" w14:textId="77777777" w:rsidR="00F46EB6" w:rsidRPr="00525F67" w:rsidRDefault="00F46EB6" w:rsidP="00F03F29">
      <w:pPr>
        <w:spacing w:line="240" w:lineRule="auto"/>
        <w:rPr>
          <w:rFonts w:cstheme="minorHAnsi"/>
          <w:lang w:eastAsia="fr-FR"/>
        </w:rPr>
      </w:pPr>
      <w:r w:rsidRPr="00525F67">
        <w:rPr>
          <w:rFonts w:cstheme="minorHAnsi"/>
          <w:lang w:eastAsia="fr-FR"/>
        </w:rPr>
        <w:t xml:space="preserve">Enfin, </w:t>
      </w:r>
      <w:r>
        <w:rPr>
          <w:rFonts w:cstheme="minorHAnsi"/>
          <w:lang w:eastAsia="fr-FR"/>
        </w:rPr>
        <w:t>ils</w:t>
      </w:r>
      <w:r w:rsidRPr="00525F67">
        <w:rPr>
          <w:rFonts w:cstheme="minorHAnsi"/>
          <w:lang w:eastAsia="fr-FR"/>
        </w:rPr>
        <w:t xml:space="preserve"> ont demandé aux législateurs</w:t>
      </w:r>
      <w:r>
        <w:rPr>
          <w:rFonts w:cstheme="minorHAnsi"/>
          <w:lang w:eastAsia="fr-FR"/>
        </w:rPr>
        <w:t xml:space="preserve"> et législatrices</w:t>
      </w:r>
      <w:r w:rsidRPr="00525F67">
        <w:rPr>
          <w:rFonts w:cstheme="minorHAnsi"/>
          <w:lang w:eastAsia="fr-FR"/>
        </w:rPr>
        <w:t xml:space="preserve"> de reconsidérer leur position : « C’est en effet d’un État de droit fort dont la Suisse a besoin pour pouvoir répondre</w:t>
      </w:r>
      <w:r>
        <w:rPr>
          <w:rFonts w:cstheme="minorHAnsi"/>
          <w:lang w:eastAsia="fr-FR"/>
        </w:rPr>
        <w:t xml:space="preserve"> aux</w:t>
      </w:r>
      <w:r w:rsidRPr="00525F67">
        <w:rPr>
          <w:rFonts w:cstheme="minorHAnsi"/>
          <w:lang w:eastAsia="fr-FR"/>
        </w:rPr>
        <w:t xml:space="preserve"> menace</w:t>
      </w:r>
      <w:r>
        <w:rPr>
          <w:rFonts w:cstheme="minorHAnsi"/>
          <w:lang w:eastAsia="fr-FR"/>
        </w:rPr>
        <w:t>s</w:t>
      </w:r>
      <w:r w:rsidRPr="00525F67">
        <w:rPr>
          <w:rFonts w:cstheme="minorHAnsi"/>
          <w:lang w:eastAsia="fr-FR"/>
        </w:rPr>
        <w:t xml:space="preserve"> terroriste</w:t>
      </w:r>
      <w:r>
        <w:rPr>
          <w:rFonts w:cstheme="minorHAnsi"/>
          <w:lang w:eastAsia="fr-FR"/>
        </w:rPr>
        <w:t>s</w:t>
      </w:r>
      <w:r w:rsidRPr="00525F67">
        <w:rPr>
          <w:rFonts w:cstheme="minorHAnsi"/>
          <w:lang w:eastAsia="fr-FR"/>
        </w:rPr>
        <w:t xml:space="preserve">. Or, le projet de loi devant l’Assemblée fédérale pose de sérieuses difficultés à la lumière de la Constitution fédérale et des instruments internationaux des droits humains. Son adoption porterait ainsi atteinte à notre État de droit. » </w:t>
      </w:r>
    </w:p>
    <w:p w14:paraId="4D7CBA33" w14:textId="77777777" w:rsidR="00F46EB6" w:rsidRPr="00525F67" w:rsidRDefault="00F46EB6" w:rsidP="00F03F29">
      <w:pPr>
        <w:spacing w:line="240" w:lineRule="auto"/>
        <w:rPr>
          <w:rFonts w:cstheme="minorHAnsi"/>
          <w:lang w:eastAsia="fr-FR"/>
        </w:rPr>
      </w:pPr>
    </w:p>
    <w:p w14:paraId="45000906" w14:textId="77777777" w:rsidR="00F46EB6" w:rsidRDefault="001A4BA2" w:rsidP="00F03F29">
      <w:pPr>
        <w:spacing w:line="240" w:lineRule="auto"/>
        <w:rPr>
          <w:rFonts w:cstheme="minorHAnsi"/>
        </w:rPr>
      </w:pPr>
      <w:hyperlink r:id="rId13" w:history="1">
        <w:r w:rsidR="00F46EB6" w:rsidRPr="00F46EB6">
          <w:rPr>
            <w:rStyle w:val="Lienhypertexte"/>
            <w:rFonts w:cstheme="minorHAnsi"/>
            <w:lang w:val="fr-FR"/>
          </w:rPr>
          <w:t xml:space="preserve">Lettre ouverte de 60 </w:t>
        </w:r>
        <w:proofErr w:type="spellStart"/>
        <w:r w:rsidR="00F46EB6" w:rsidRPr="00F46EB6">
          <w:rPr>
            <w:rStyle w:val="Lienhypertexte"/>
            <w:rFonts w:cstheme="minorHAnsi"/>
            <w:lang w:val="fr-FR"/>
          </w:rPr>
          <w:t>professeur·e·s</w:t>
        </w:r>
        <w:proofErr w:type="spellEnd"/>
        <w:r w:rsidR="00F46EB6" w:rsidRPr="00F46EB6">
          <w:rPr>
            <w:rStyle w:val="Lienhypertexte"/>
            <w:rFonts w:cstheme="minorHAnsi"/>
            <w:lang w:val="fr-FR"/>
          </w:rPr>
          <w:t xml:space="preserve"> de droit suisse.</w:t>
        </w:r>
      </w:hyperlink>
    </w:p>
    <w:p w14:paraId="2D67047F" w14:textId="77777777" w:rsidR="00F46EB6" w:rsidRPr="00A434E8" w:rsidRDefault="00F46EB6" w:rsidP="00F03F29">
      <w:pPr>
        <w:spacing w:line="240" w:lineRule="auto"/>
        <w:rPr>
          <w:rFonts w:cstheme="minorHAnsi"/>
        </w:rPr>
      </w:pPr>
    </w:p>
    <w:p w14:paraId="64244364" w14:textId="77777777" w:rsidR="00F46EB6" w:rsidRPr="00F46EB6" w:rsidRDefault="00F46EB6" w:rsidP="00F46EB6">
      <w:pPr>
        <w:pStyle w:val="Titre1"/>
        <w:spacing w:after="120"/>
        <w:rPr>
          <w:sz w:val="28"/>
          <w:szCs w:val="22"/>
        </w:rPr>
      </w:pPr>
      <w:r w:rsidRPr="00F46EB6">
        <w:rPr>
          <w:sz w:val="28"/>
          <w:szCs w:val="22"/>
        </w:rPr>
        <w:t>Adoption au Parlement</w:t>
      </w:r>
    </w:p>
    <w:p w14:paraId="5E3A4990" w14:textId="77777777" w:rsidR="00F46EB6" w:rsidRPr="00525F67" w:rsidRDefault="00F46EB6" w:rsidP="00F46EB6">
      <w:pPr>
        <w:rPr>
          <w:rFonts w:cstheme="minorHAnsi"/>
        </w:rPr>
      </w:pPr>
      <w:r w:rsidRPr="00525F67">
        <w:rPr>
          <w:rFonts w:cstheme="minorHAnsi"/>
        </w:rPr>
        <w:t>Le Parlement suisse a adopté le projet de loi le 25.09.2021 par 145 voix pour et 95 contre.</w:t>
      </w:r>
    </w:p>
    <w:p w14:paraId="7D250B46" w14:textId="77777777" w:rsidR="00F46EB6" w:rsidRPr="00525F67" w:rsidRDefault="00F46EB6" w:rsidP="00F46EB6">
      <w:pPr>
        <w:rPr>
          <w:rFonts w:cstheme="minorHAnsi"/>
        </w:rPr>
      </w:pPr>
    </w:p>
    <w:p w14:paraId="112E8733" w14:textId="77777777" w:rsidR="00F46EB6" w:rsidRPr="00525F67" w:rsidRDefault="001A4BA2" w:rsidP="00F46EB6">
      <w:pPr>
        <w:rPr>
          <w:rFonts w:cstheme="minorHAnsi"/>
        </w:rPr>
      </w:pPr>
      <w:hyperlink r:id="rId14" w:history="1">
        <w:r w:rsidR="00F46EB6" w:rsidRPr="00F46EB6">
          <w:rPr>
            <w:rStyle w:val="Lienhypertexte"/>
            <w:rFonts w:cstheme="minorHAnsi"/>
            <w:lang w:val="fr-FR"/>
          </w:rPr>
          <w:t>19.032 | Mesures policières de lutte contre le terrorisme. Loi | Objet | Le Parlement suisse (parlament.ch)</w:t>
        </w:r>
      </w:hyperlink>
      <w:r w:rsidR="00F46EB6" w:rsidRPr="00525F67">
        <w:rPr>
          <w:rFonts w:cstheme="minorHAnsi"/>
        </w:rPr>
        <w:t xml:space="preserve"> </w:t>
      </w:r>
    </w:p>
    <w:p w14:paraId="4105724A" w14:textId="77777777" w:rsidR="00F46EB6" w:rsidRPr="00525F67" w:rsidRDefault="00F46EB6" w:rsidP="00F46EB6">
      <w:pPr>
        <w:rPr>
          <w:rFonts w:cstheme="minorHAnsi"/>
        </w:rPr>
      </w:pPr>
    </w:p>
    <w:p w14:paraId="08FE54A8" w14:textId="77777777" w:rsidR="00F46EB6" w:rsidRPr="00F46EB6" w:rsidRDefault="00F46EB6" w:rsidP="00F46EB6">
      <w:pPr>
        <w:pStyle w:val="Titre1"/>
        <w:spacing w:after="120"/>
        <w:rPr>
          <w:sz w:val="28"/>
          <w:szCs w:val="22"/>
        </w:rPr>
      </w:pPr>
      <w:r w:rsidRPr="00F46EB6">
        <w:rPr>
          <w:sz w:val="28"/>
          <w:szCs w:val="22"/>
        </w:rPr>
        <w:t>Critiques d'autres organisations</w:t>
      </w:r>
    </w:p>
    <w:p w14:paraId="2002675B" w14:textId="77777777" w:rsidR="00F46EB6" w:rsidRPr="00A434E8" w:rsidRDefault="001A4BA2" w:rsidP="00F46EB6">
      <w:pPr>
        <w:spacing w:after="120"/>
        <w:rPr>
          <w:rFonts w:cstheme="minorHAnsi"/>
          <w:bCs/>
        </w:rPr>
      </w:pPr>
      <w:hyperlink r:id="rId15" w:history="1">
        <w:r w:rsidR="00F46EB6" w:rsidRPr="00F46EB6">
          <w:rPr>
            <w:rStyle w:val="Lienhypertexte"/>
            <w:rFonts w:cstheme="minorHAnsi"/>
            <w:bCs/>
            <w:lang w:val="fr-FR"/>
          </w:rPr>
          <w:t>Plate-forme des ONG pour les droits humains en Suisse, octobre 2019.</w:t>
        </w:r>
      </w:hyperlink>
      <w:r w:rsidR="00F46EB6" w:rsidRPr="00A434E8">
        <w:rPr>
          <w:rFonts w:cstheme="minorHAnsi"/>
          <w:bCs/>
        </w:rPr>
        <w:t xml:space="preserve"> </w:t>
      </w:r>
    </w:p>
    <w:p w14:paraId="1743DBFD" w14:textId="77777777" w:rsidR="00F46EB6" w:rsidRPr="00A434E8" w:rsidRDefault="001A4BA2" w:rsidP="00F46EB6">
      <w:pPr>
        <w:spacing w:after="120"/>
        <w:rPr>
          <w:rFonts w:cstheme="minorHAnsi"/>
          <w:bCs/>
        </w:rPr>
      </w:pPr>
      <w:hyperlink r:id="rId16" w:history="1">
        <w:r w:rsidR="00F46EB6" w:rsidRPr="00F46EB6">
          <w:rPr>
            <w:rStyle w:val="Lienhypertexte"/>
            <w:rFonts w:cstheme="minorHAnsi"/>
            <w:bCs/>
            <w:lang w:val="fr-FR"/>
          </w:rPr>
          <w:t>Réseau suisse des droits de l'enfant, février 2020.</w:t>
        </w:r>
      </w:hyperlink>
      <w:r w:rsidR="00F46EB6" w:rsidRPr="00A434E8">
        <w:rPr>
          <w:rFonts w:cstheme="minorHAnsi"/>
          <w:bCs/>
        </w:rPr>
        <w:t xml:space="preserve"> </w:t>
      </w:r>
    </w:p>
    <w:p w14:paraId="693D190C" w14:textId="742CEC4B" w:rsidR="00AD2289" w:rsidRPr="00A02E35" w:rsidRDefault="001A4BA2" w:rsidP="00A02E35">
      <w:pPr>
        <w:spacing w:after="120"/>
        <w:rPr>
          <w:rFonts w:cstheme="minorHAnsi"/>
          <w:bCs/>
        </w:rPr>
      </w:pPr>
      <w:hyperlink r:id="rId17" w:anchor=".XutnAvmpa_A.twitter" w:history="1">
        <w:r w:rsidR="00F46EB6" w:rsidRPr="00F46EB6">
          <w:rPr>
            <w:rStyle w:val="Lienhypertexte"/>
            <w:rFonts w:cstheme="minorHAnsi"/>
            <w:bCs/>
            <w:lang w:val="fr-FR"/>
          </w:rPr>
          <w:t>Commission Internationale de Juristes, ICJ, juin 2020.</w:t>
        </w:r>
      </w:hyperlink>
      <w:bookmarkEnd w:id="0"/>
    </w:p>
    <w:sectPr w:rsidR="00AD2289" w:rsidRPr="00A02E35" w:rsidSect="00177157">
      <w:headerReference w:type="default" r:id="rId18"/>
      <w:footerReference w:type="first" r:id="rId19"/>
      <w:pgSz w:w="11906" w:h="16838" w:code="9"/>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28D6F" w14:textId="77777777" w:rsidR="001A4BA2" w:rsidRDefault="001A4BA2">
      <w:r>
        <w:separator/>
      </w:r>
    </w:p>
    <w:p w14:paraId="71989E15" w14:textId="77777777" w:rsidR="001A4BA2" w:rsidRDefault="001A4BA2"/>
    <w:p w14:paraId="06F585C4" w14:textId="77777777" w:rsidR="001A4BA2" w:rsidRDefault="001A4BA2"/>
    <w:p w14:paraId="141966AE" w14:textId="77777777" w:rsidR="001A4BA2" w:rsidRDefault="001A4BA2"/>
  </w:endnote>
  <w:endnote w:type="continuationSeparator" w:id="0">
    <w:p w14:paraId="5C2DD21E" w14:textId="77777777" w:rsidR="001A4BA2" w:rsidRDefault="001A4BA2">
      <w:r>
        <w:continuationSeparator/>
      </w:r>
    </w:p>
    <w:p w14:paraId="64E2A61B" w14:textId="77777777" w:rsidR="001A4BA2" w:rsidRDefault="001A4BA2"/>
    <w:p w14:paraId="660B5883" w14:textId="77777777" w:rsidR="001A4BA2" w:rsidRDefault="001A4BA2"/>
    <w:p w14:paraId="5C4F7959" w14:textId="77777777" w:rsidR="001A4BA2" w:rsidRDefault="001A4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mnesty Trade Gothic">
    <w:altName w:val="Calibri"/>
    <w:panose1 w:val="020B0604020202020204"/>
    <w:charset w:val="00"/>
    <w:family w:val="swiss"/>
    <w:pitch w:val="variable"/>
    <w:sig w:usb0="800000AF" w:usb1="5000204A" w:usb2="00000000" w:usb3="00000000" w:csb0="0000009B" w:csb1="00000000"/>
  </w:font>
  <w:font w:name="Amnesty Trade Gothic Cn">
    <w:altName w:val="Calibri"/>
    <w:panose1 w:val="020B06040202020202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92E62" w14:textId="77777777" w:rsidR="00AA262F" w:rsidRPr="00D81FF5" w:rsidRDefault="00AA262F" w:rsidP="00D81FF5">
    <w:pPr>
      <w:spacing w:line="220" w:lineRule="exact"/>
      <w:rPr>
        <w:color w:val="999999"/>
        <w:sz w:val="16"/>
        <w:szCs w:val="16"/>
      </w:rPr>
    </w:pPr>
  </w:p>
  <w:p w14:paraId="14752837" w14:textId="77777777" w:rsidR="00AA262F" w:rsidRPr="00D81FF5" w:rsidRDefault="00AA262F" w:rsidP="00D81FF5">
    <w:pPr>
      <w:spacing w:line="220" w:lineRule="exact"/>
      <w:rPr>
        <w:color w:val="999999"/>
        <w:sz w:val="16"/>
        <w:szCs w:val="16"/>
      </w:rPr>
    </w:pPr>
  </w:p>
  <w:p w14:paraId="6D948BD0" w14:textId="77777777" w:rsidR="00AA262F" w:rsidRPr="00D81FF5" w:rsidRDefault="00AA262F" w:rsidP="00D81FF5">
    <w:pPr>
      <w:spacing w:line="220" w:lineRule="exact"/>
      <w:rPr>
        <w:color w:val="9999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A22A6" w14:textId="77777777" w:rsidR="001A4BA2" w:rsidRDefault="001A4BA2">
      <w:r>
        <w:separator/>
      </w:r>
    </w:p>
  </w:footnote>
  <w:footnote w:type="continuationSeparator" w:id="0">
    <w:p w14:paraId="5A477BCF" w14:textId="77777777" w:rsidR="001A4BA2" w:rsidRDefault="001A4BA2">
      <w:r>
        <w:continuationSeparator/>
      </w:r>
    </w:p>
    <w:p w14:paraId="0365A485" w14:textId="77777777" w:rsidR="001A4BA2" w:rsidRDefault="001A4BA2"/>
    <w:p w14:paraId="6D654081" w14:textId="77777777" w:rsidR="001A4BA2" w:rsidRDefault="001A4BA2"/>
    <w:p w14:paraId="60688BEC" w14:textId="77777777" w:rsidR="001A4BA2" w:rsidRDefault="001A4B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AE70" w14:textId="77777777" w:rsidR="00AA262F" w:rsidRPr="00D81FF5" w:rsidRDefault="00AA262F" w:rsidP="00DA27DA">
    <w:pPr>
      <w:jc w:val="right"/>
      <w:rPr>
        <w:rFonts w:cs="Arial"/>
        <w:color w:val="999999"/>
      </w:rPr>
    </w:pPr>
  </w:p>
  <w:p w14:paraId="5625A56D" w14:textId="77777777" w:rsidR="00AA262F" w:rsidRPr="00D81FF5" w:rsidRDefault="00AA262F" w:rsidP="00DA27DA">
    <w:pPr>
      <w:jc w:val="right"/>
      <w:rPr>
        <w:rFonts w:cs="Arial"/>
        <w:color w:val="999999"/>
      </w:rPr>
    </w:pPr>
  </w:p>
  <w:p w14:paraId="7D481CE9" w14:textId="77777777" w:rsidR="00AA262F" w:rsidRDefault="00AA26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35DC1"/>
    <w:multiLevelType w:val="hybridMultilevel"/>
    <w:tmpl w:val="18D85DE0"/>
    <w:lvl w:ilvl="0" w:tplc="2CCAC654">
      <w:start w:val="1"/>
      <w:numFmt w:val="bullet"/>
      <w:lvlText w:val=""/>
      <w:lvlJc w:val="left"/>
      <w:pPr>
        <w:tabs>
          <w:tab w:val="num" w:pos="227"/>
        </w:tabs>
        <w:ind w:left="227" w:firstLine="0"/>
      </w:pPr>
      <w:rPr>
        <w:rFonts w:ascii="Wingdings" w:hAnsi="Wingdings" w:hint="default"/>
        <w:sz w:val="20"/>
        <w:szCs w:val="20"/>
      </w:rPr>
    </w:lvl>
    <w:lvl w:ilvl="1" w:tplc="04070003">
      <w:start w:val="1"/>
      <w:numFmt w:val="bullet"/>
      <w:lvlText w:val="o"/>
      <w:lvlJc w:val="left"/>
      <w:pPr>
        <w:tabs>
          <w:tab w:val="num" w:pos="759"/>
        </w:tabs>
        <w:ind w:left="759" w:hanging="360"/>
      </w:pPr>
      <w:rPr>
        <w:rFonts w:ascii="Courier New" w:hAnsi="Courier New" w:cs="Courier New" w:hint="default"/>
      </w:rPr>
    </w:lvl>
    <w:lvl w:ilvl="2" w:tplc="04070005" w:tentative="1">
      <w:start w:val="1"/>
      <w:numFmt w:val="bullet"/>
      <w:lvlText w:val=""/>
      <w:lvlJc w:val="left"/>
      <w:pPr>
        <w:tabs>
          <w:tab w:val="num" w:pos="1479"/>
        </w:tabs>
        <w:ind w:left="1479" w:hanging="360"/>
      </w:pPr>
      <w:rPr>
        <w:rFonts w:ascii="Wingdings" w:hAnsi="Wingdings" w:hint="default"/>
      </w:rPr>
    </w:lvl>
    <w:lvl w:ilvl="3" w:tplc="04070001" w:tentative="1">
      <w:start w:val="1"/>
      <w:numFmt w:val="bullet"/>
      <w:lvlText w:val=""/>
      <w:lvlJc w:val="left"/>
      <w:pPr>
        <w:tabs>
          <w:tab w:val="num" w:pos="2199"/>
        </w:tabs>
        <w:ind w:left="2199" w:hanging="360"/>
      </w:pPr>
      <w:rPr>
        <w:rFonts w:ascii="Symbol" w:hAnsi="Symbol" w:hint="default"/>
      </w:rPr>
    </w:lvl>
    <w:lvl w:ilvl="4" w:tplc="04070003" w:tentative="1">
      <w:start w:val="1"/>
      <w:numFmt w:val="bullet"/>
      <w:lvlText w:val="o"/>
      <w:lvlJc w:val="left"/>
      <w:pPr>
        <w:tabs>
          <w:tab w:val="num" w:pos="2919"/>
        </w:tabs>
        <w:ind w:left="2919" w:hanging="360"/>
      </w:pPr>
      <w:rPr>
        <w:rFonts w:ascii="Courier New" w:hAnsi="Courier New" w:cs="Courier New" w:hint="default"/>
      </w:rPr>
    </w:lvl>
    <w:lvl w:ilvl="5" w:tplc="04070005" w:tentative="1">
      <w:start w:val="1"/>
      <w:numFmt w:val="bullet"/>
      <w:lvlText w:val=""/>
      <w:lvlJc w:val="left"/>
      <w:pPr>
        <w:tabs>
          <w:tab w:val="num" w:pos="3639"/>
        </w:tabs>
        <w:ind w:left="3639" w:hanging="360"/>
      </w:pPr>
      <w:rPr>
        <w:rFonts w:ascii="Wingdings" w:hAnsi="Wingdings" w:hint="default"/>
      </w:rPr>
    </w:lvl>
    <w:lvl w:ilvl="6" w:tplc="04070001" w:tentative="1">
      <w:start w:val="1"/>
      <w:numFmt w:val="bullet"/>
      <w:lvlText w:val=""/>
      <w:lvlJc w:val="left"/>
      <w:pPr>
        <w:tabs>
          <w:tab w:val="num" w:pos="4359"/>
        </w:tabs>
        <w:ind w:left="4359" w:hanging="360"/>
      </w:pPr>
      <w:rPr>
        <w:rFonts w:ascii="Symbol" w:hAnsi="Symbol" w:hint="default"/>
      </w:rPr>
    </w:lvl>
    <w:lvl w:ilvl="7" w:tplc="04070003" w:tentative="1">
      <w:start w:val="1"/>
      <w:numFmt w:val="bullet"/>
      <w:lvlText w:val="o"/>
      <w:lvlJc w:val="left"/>
      <w:pPr>
        <w:tabs>
          <w:tab w:val="num" w:pos="5079"/>
        </w:tabs>
        <w:ind w:left="5079" w:hanging="360"/>
      </w:pPr>
      <w:rPr>
        <w:rFonts w:ascii="Courier New" w:hAnsi="Courier New" w:cs="Courier New" w:hint="default"/>
      </w:rPr>
    </w:lvl>
    <w:lvl w:ilvl="8" w:tplc="04070005" w:tentative="1">
      <w:start w:val="1"/>
      <w:numFmt w:val="bullet"/>
      <w:lvlText w:val=""/>
      <w:lvlJc w:val="left"/>
      <w:pPr>
        <w:tabs>
          <w:tab w:val="num" w:pos="5799"/>
        </w:tabs>
        <w:ind w:left="5799" w:hanging="360"/>
      </w:pPr>
      <w:rPr>
        <w:rFonts w:ascii="Wingdings" w:hAnsi="Wingdings" w:hint="default"/>
      </w:rPr>
    </w:lvl>
  </w:abstractNum>
  <w:abstractNum w:abstractNumId="1" w15:restartNumberingAfterBreak="0">
    <w:nsid w:val="14106CB6"/>
    <w:multiLevelType w:val="hybridMultilevel"/>
    <w:tmpl w:val="F0A21AF0"/>
    <w:lvl w:ilvl="0" w:tplc="722471C8">
      <w:start w:val="1"/>
      <w:numFmt w:val="bullet"/>
      <w:pStyle w:val="AIAufzhlung3Ebene"/>
      <w:lvlText w:val=""/>
      <w:lvlJc w:val="left"/>
      <w:pPr>
        <w:tabs>
          <w:tab w:val="num" w:pos="454"/>
        </w:tabs>
        <w:ind w:left="454" w:firstLine="0"/>
      </w:pPr>
      <w:rPr>
        <w:rFonts w:ascii="Wingdings" w:hAnsi="Wingdings"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376CD"/>
    <w:multiLevelType w:val="hybridMultilevel"/>
    <w:tmpl w:val="17F8071E"/>
    <w:lvl w:ilvl="0" w:tplc="A2B2F0F4">
      <w:start w:val="1"/>
      <w:numFmt w:val="bullet"/>
      <w:lvlText w:val=""/>
      <w:lvlJc w:val="left"/>
      <w:pPr>
        <w:tabs>
          <w:tab w:val="num" w:pos="227"/>
        </w:tabs>
        <w:ind w:left="227" w:hanging="227"/>
      </w:pPr>
      <w:rPr>
        <w:rFonts w:ascii="Wingdings" w:hAnsi="Wingdings" w:hint="default"/>
        <w:sz w:val="1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2851F4"/>
    <w:multiLevelType w:val="multilevel"/>
    <w:tmpl w:val="8A30E562"/>
    <w:lvl w:ilvl="0">
      <w:start w:val="1"/>
      <w:numFmt w:val="decimal"/>
      <w:pStyle w:val="AIAufzhlungZiffern"/>
      <w:lvlText w:val="%1."/>
      <w:lvlJc w:val="left"/>
      <w:pPr>
        <w:tabs>
          <w:tab w:val="num" w:pos="227"/>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349E4E29"/>
    <w:multiLevelType w:val="hybridMultilevel"/>
    <w:tmpl w:val="A39E5A2A"/>
    <w:lvl w:ilvl="0" w:tplc="FED4DA2C">
      <w:start w:val="1"/>
      <w:numFmt w:val="bullet"/>
      <w:pStyle w:val="AIAufzhlung1Ebene"/>
      <w:lvlText w:val=""/>
      <w:lvlJc w:val="left"/>
      <w:pPr>
        <w:tabs>
          <w:tab w:val="num" w:pos="227"/>
        </w:tabs>
        <w:ind w:left="227" w:hanging="227"/>
      </w:pPr>
      <w:rPr>
        <w:rFonts w:ascii="Wingdings" w:hAnsi="Wingdings" w:hint="default"/>
      </w:rPr>
    </w:lvl>
    <w:lvl w:ilvl="1" w:tplc="04070003">
      <w:start w:val="1"/>
      <w:numFmt w:val="bullet"/>
      <w:lvlText w:val="o"/>
      <w:lvlJc w:val="left"/>
      <w:pPr>
        <w:tabs>
          <w:tab w:val="num" w:pos="759"/>
        </w:tabs>
        <w:ind w:left="759" w:hanging="360"/>
      </w:pPr>
      <w:rPr>
        <w:rFonts w:ascii="Courier New" w:hAnsi="Courier New" w:cs="Courier New" w:hint="default"/>
      </w:rPr>
    </w:lvl>
    <w:lvl w:ilvl="2" w:tplc="04070005" w:tentative="1">
      <w:start w:val="1"/>
      <w:numFmt w:val="bullet"/>
      <w:lvlText w:val=""/>
      <w:lvlJc w:val="left"/>
      <w:pPr>
        <w:tabs>
          <w:tab w:val="num" w:pos="1479"/>
        </w:tabs>
        <w:ind w:left="1479" w:hanging="360"/>
      </w:pPr>
      <w:rPr>
        <w:rFonts w:ascii="Wingdings" w:hAnsi="Wingdings" w:hint="default"/>
      </w:rPr>
    </w:lvl>
    <w:lvl w:ilvl="3" w:tplc="04070001" w:tentative="1">
      <w:start w:val="1"/>
      <w:numFmt w:val="bullet"/>
      <w:lvlText w:val=""/>
      <w:lvlJc w:val="left"/>
      <w:pPr>
        <w:tabs>
          <w:tab w:val="num" w:pos="2199"/>
        </w:tabs>
        <w:ind w:left="2199" w:hanging="360"/>
      </w:pPr>
      <w:rPr>
        <w:rFonts w:ascii="Symbol" w:hAnsi="Symbol" w:hint="default"/>
      </w:rPr>
    </w:lvl>
    <w:lvl w:ilvl="4" w:tplc="04070003" w:tentative="1">
      <w:start w:val="1"/>
      <w:numFmt w:val="bullet"/>
      <w:lvlText w:val="o"/>
      <w:lvlJc w:val="left"/>
      <w:pPr>
        <w:tabs>
          <w:tab w:val="num" w:pos="2919"/>
        </w:tabs>
        <w:ind w:left="2919" w:hanging="360"/>
      </w:pPr>
      <w:rPr>
        <w:rFonts w:ascii="Courier New" w:hAnsi="Courier New" w:cs="Courier New" w:hint="default"/>
      </w:rPr>
    </w:lvl>
    <w:lvl w:ilvl="5" w:tplc="04070005" w:tentative="1">
      <w:start w:val="1"/>
      <w:numFmt w:val="bullet"/>
      <w:lvlText w:val=""/>
      <w:lvlJc w:val="left"/>
      <w:pPr>
        <w:tabs>
          <w:tab w:val="num" w:pos="3639"/>
        </w:tabs>
        <w:ind w:left="3639" w:hanging="360"/>
      </w:pPr>
      <w:rPr>
        <w:rFonts w:ascii="Wingdings" w:hAnsi="Wingdings" w:hint="default"/>
      </w:rPr>
    </w:lvl>
    <w:lvl w:ilvl="6" w:tplc="04070001" w:tentative="1">
      <w:start w:val="1"/>
      <w:numFmt w:val="bullet"/>
      <w:lvlText w:val=""/>
      <w:lvlJc w:val="left"/>
      <w:pPr>
        <w:tabs>
          <w:tab w:val="num" w:pos="4359"/>
        </w:tabs>
        <w:ind w:left="4359" w:hanging="360"/>
      </w:pPr>
      <w:rPr>
        <w:rFonts w:ascii="Symbol" w:hAnsi="Symbol" w:hint="default"/>
      </w:rPr>
    </w:lvl>
    <w:lvl w:ilvl="7" w:tplc="04070003" w:tentative="1">
      <w:start w:val="1"/>
      <w:numFmt w:val="bullet"/>
      <w:lvlText w:val="o"/>
      <w:lvlJc w:val="left"/>
      <w:pPr>
        <w:tabs>
          <w:tab w:val="num" w:pos="5079"/>
        </w:tabs>
        <w:ind w:left="5079" w:hanging="360"/>
      </w:pPr>
      <w:rPr>
        <w:rFonts w:ascii="Courier New" w:hAnsi="Courier New" w:cs="Courier New" w:hint="default"/>
      </w:rPr>
    </w:lvl>
    <w:lvl w:ilvl="8" w:tplc="04070005" w:tentative="1">
      <w:start w:val="1"/>
      <w:numFmt w:val="bullet"/>
      <w:lvlText w:val=""/>
      <w:lvlJc w:val="left"/>
      <w:pPr>
        <w:tabs>
          <w:tab w:val="num" w:pos="5799"/>
        </w:tabs>
        <w:ind w:left="5799" w:hanging="360"/>
      </w:pPr>
      <w:rPr>
        <w:rFonts w:ascii="Wingdings" w:hAnsi="Wingdings" w:hint="default"/>
      </w:rPr>
    </w:lvl>
  </w:abstractNum>
  <w:abstractNum w:abstractNumId="5" w15:restartNumberingAfterBreak="0">
    <w:nsid w:val="379F0374"/>
    <w:multiLevelType w:val="multilevel"/>
    <w:tmpl w:val="ADDEC508"/>
    <w:lvl w:ilvl="0">
      <w:start w:val="1"/>
      <w:numFmt w:val="decimal"/>
      <w:pStyle w:val="AIAufzhlungZiffernGliederung"/>
      <w:lvlText w:val="%1."/>
      <w:lvlJc w:val="left"/>
      <w:pPr>
        <w:tabs>
          <w:tab w:val="num" w:pos="680"/>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3A7428B7"/>
    <w:multiLevelType w:val="hybridMultilevel"/>
    <w:tmpl w:val="5BFE8310"/>
    <w:lvl w:ilvl="0" w:tplc="F744A93E">
      <w:start w:val="1"/>
      <w:numFmt w:val="decimal"/>
      <w:lvlText w:val="%1."/>
      <w:lvlJc w:val="left"/>
      <w:pPr>
        <w:tabs>
          <w:tab w:val="num" w:pos="227"/>
        </w:tabs>
        <w:ind w:left="22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C0E566A"/>
    <w:multiLevelType w:val="hybridMultilevel"/>
    <w:tmpl w:val="CB307088"/>
    <w:lvl w:ilvl="0" w:tplc="AD729AE2">
      <w:start w:val="1"/>
      <w:numFmt w:val="bullet"/>
      <w:lvlText w:val=""/>
      <w:lvlJc w:val="left"/>
      <w:pPr>
        <w:tabs>
          <w:tab w:val="num" w:pos="39"/>
        </w:tabs>
        <w:ind w:left="39" w:hanging="360"/>
      </w:pPr>
      <w:rPr>
        <w:rFonts w:ascii="Wingdings" w:hAnsi="Wingdings" w:hint="default"/>
      </w:rPr>
    </w:lvl>
    <w:lvl w:ilvl="1" w:tplc="04070003" w:tentative="1">
      <w:start w:val="1"/>
      <w:numFmt w:val="bullet"/>
      <w:lvlText w:val="o"/>
      <w:lvlJc w:val="left"/>
      <w:pPr>
        <w:tabs>
          <w:tab w:val="num" w:pos="759"/>
        </w:tabs>
        <w:ind w:left="759" w:hanging="360"/>
      </w:pPr>
      <w:rPr>
        <w:rFonts w:ascii="Courier New" w:hAnsi="Courier New" w:cs="Courier New" w:hint="default"/>
      </w:rPr>
    </w:lvl>
    <w:lvl w:ilvl="2" w:tplc="04070005" w:tentative="1">
      <w:start w:val="1"/>
      <w:numFmt w:val="bullet"/>
      <w:lvlText w:val=""/>
      <w:lvlJc w:val="left"/>
      <w:pPr>
        <w:tabs>
          <w:tab w:val="num" w:pos="1479"/>
        </w:tabs>
        <w:ind w:left="1479" w:hanging="360"/>
      </w:pPr>
      <w:rPr>
        <w:rFonts w:ascii="Wingdings" w:hAnsi="Wingdings" w:hint="default"/>
      </w:rPr>
    </w:lvl>
    <w:lvl w:ilvl="3" w:tplc="04070001" w:tentative="1">
      <w:start w:val="1"/>
      <w:numFmt w:val="bullet"/>
      <w:lvlText w:val=""/>
      <w:lvlJc w:val="left"/>
      <w:pPr>
        <w:tabs>
          <w:tab w:val="num" w:pos="2199"/>
        </w:tabs>
        <w:ind w:left="2199" w:hanging="360"/>
      </w:pPr>
      <w:rPr>
        <w:rFonts w:ascii="Symbol" w:hAnsi="Symbol" w:hint="default"/>
      </w:rPr>
    </w:lvl>
    <w:lvl w:ilvl="4" w:tplc="04070003" w:tentative="1">
      <w:start w:val="1"/>
      <w:numFmt w:val="bullet"/>
      <w:lvlText w:val="o"/>
      <w:lvlJc w:val="left"/>
      <w:pPr>
        <w:tabs>
          <w:tab w:val="num" w:pos="2919"/>
        </w:tabs>
        <w:ind w:left="2919" w:hanging="360"/>
      </w:pPr>
      <w:rPr>
        <w:rFonts w:ascii="Courier New" w:hAnsi="Courier New" w:cs="Courier New" w:hint="default"/>
      </w:rPr>
    </w:lvl>
    <w:lvl w:ilvl="5" w:tplc="04070005" w:tentative="1">
      <w:start w:val="1"/>
      <w:numFmt w:val="bullet"/>
      <w:lvlText w:val=""/>
      <w:lvlJc w:val="left"/>
      <w:pPr>
        <w:tabs>
          <w:tab w:val="num" w:pos="3639"/>
        </w:tabs>
        <w:ind w:left="3639" w:hanging="360"/>
      </w:pPr>
      <w:rPr>
        <w:rFonts w:ascii="Wingdings" w:hAnsi="Wingdings" w:hint="default"/>
      </w:rPr>
    </w:lvl>
    <w:lvl w:ilvl="6" w:tplc="04070001" w:tentative="1">
      <w:start w:val="1"/>
      <w:numFmt w:val="bullet"/>
      <w:lvlText w:val=""/>
      <w:lvlJc w:val="left"/>
      <w:pPr>
        <w:tabs>
          <w:tab w:val="num" w:pos="4359"/>
        </w:tabs>
        <w:ind w:left="4359" w:hanging="360"/>
      </w:pPr>
      <w:rPr>
        <w:rFonts w:ascii="Symbol" w:hAnsi="Symbol" w:hint="default"/>
      </w:rPr>
    </w:lvl>
    <w:lvl w:ilvl="7" w:tplc="04070003" w:tentative="1">
      <w:start w:val="1"/>
      <w:numFmt w:val="bullet"/>
      <w:lvlText w:val="o"/>
      <w:lvlJc w:val="left"/>
      <w:pPr>
        <w:tabs>
          <w:tab w:val="num" w:pos="5079"/>
        </w:tabs>
        <w:ind w:left="5079" w:hanging="360"/>
      </w:pPr>
      <w:rPr>
        <w:rFonts w:ascii="Courier New" w:hAnsi="Courier New" w:cs="Courier New" w:hint="default"/>
      </w:rPr>
    </w:lvl>
    <w:lvl w:ilvl="8" w:tplc="04070005" w:tentative="1">
      <w:start w:val="1"/>
      <w:numFmt w:val="bullet"/>
      <w:lvlText w:val=""/>
      <w:lvlJc w:val="left"/>
      <w:pPr>
        <w:tabs>
          <w:tab w:val="num" w:pos="5799"/>
        </w:tabs>
        <w:ind w:left="5799" w:hanging="360"/>
      </w:pPr>
      <w:rPr>
        <w:rFonts w:ascii="Wingdings" w:hAnsi="Wingdings" w:hint="default"/>
      </w:rPr>
    </w:lvl>
  </w:abstractNum>
  <w:abstractNum w:abstractNumId="8" w15:restartNumberingAfterBreak="0">
    <w:nsid w:val="7B7875E6"/>
    <w:multiLevelType w:val="hybridMultilevel"/>
    <w:tmpl w:val="1AA44BA2"/>
    <w:lvl w:ilvl="0" w:tplc="2CCAC654">
      <w:start w:val="1"/>
      <w:numFmt w:val="bullet"/>
      <w:pStyle w:val="AIAufzhlung2Ebene"/>
      <w:lvlText w:val=""/>
      <w:lvlJc w:val="left"/>
      <w:pPr>
        <w:tabs>
          <w:tab w:val="num" w:pos="227"/>
        </w:tabs>
        <w:ind w:left="227" w:firstLine="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1"/>
  </w:num>
  <w:num w:numId="6">
    <w:abstractNumId w:val="6"/>
  </w:num>
  <w:num w:numId="7">
    <w:abstractNumId w:val="5"/>
  </w:num>
  <w:num w:numId="8">
    <w:abstractNumId w:val="3"/>
  </w:num>
  <w:num w:numId="9">
    <w:abstractNumId w:val="4"/>
  </w:num>
  <w:num w:numId="10">
    <w:abstractNumId w:val="8"/>
  </w:num>
  <w:num w:numId="11">
    <w:abstractNumId w:val="1"/>
  </w:num>
  <w:num w:numId="12">
    <w:abstractNumId w:val="5"/>
  </w:num>
  <w:num w:numId="13">
    <w:abstractNumId w:val="3"/>
  </w:num>
  <w:num w:numId="14">
    <w:abstractNumId w:val="4"/>
  </w:num>
  <w:num w:numId="15">
    <w:abstractNumId w:val="8"/>
  </w:num>
  <w:num w:numId="16">
    <w:abstractNumId w:val="1"/>
  </w:num>
  <w:num w:numId="17">
    <w:abstractNumId w:val="5"/>
  </w:num>
  <w:num w:numId="18">
    <w:abstractNumId w:val="3"/>
  </w:num>
  <w:num w:numId="19">
    <w:abstractNumId w:val="4"/>
  </w:num>
  <w:num w:numId="20">
    <w:abstractNumId w:val="8"/>
  </w:num>
  <w:num w:numId="21">
    <w:abstractNumId w:val="1"/>
  </w:num>
  <w:num w:numId="22">
    <w:abstractNumId w:val="5"/>
  </w:num>
  <w:num w:numId="23">
    <w:abstractNumId w:val="3"/>
  </w:num>
  <w:num w:numId="24">
    <w:abstractNumId w:val="4"/>
  </w:num>
  <w:num w:numId="25">
    <w:abstractNumId w:val="8"/>
  </w:num>
  <w:num w:numId="26">
    <w:abstractNumId w:val="1"/>
  </w:num>
  <w:num w:numId="27">
    <w:abstractNumId w:val="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B6"/>
    <w:rsid w:val="00047519"/>
    <w:rsid w:val="00087A72"/>
    <w:rsid w:val="000A27BE"/>
    <w:rsid w:val="000B655B"/>
    <w:rsid w:val="000C2911"/>
    <w:rsid w:val="000C557F"/>
    <w:rsid w:val="000E3253"/>
    <w:rsid w:val="000F09D8"/>
    <w:rsid w:val="00125BC8"/>
    <w:rsid w:val="001320E1"/>
    <w:rsid w:val="00146B38"/>
    <w:rsid w:val="00177157"/>
    <w:rsid w:val="001772A6"/>
    <w:rsid w:val="0019535F"/>
    <w:rsid w:val="001972C9"/>
    <w:rsid w:val="001A4BA2"/>
    <w:rsid w:val="001B1376"/>
    <w:rsid w:val="001D1B5E"/>
    <w:rsid w:val="001F3A88"/>
    <w:rsid w:val="0022078B"/>
    <w:rsid w:val="00267AD5"/>
    <w:rsid w:val="00270918"/>
    <w:rsid w:val="00296E6C"/>
    <w:rsid w:val="002B0FFC"/>
    <w:rsid w:val="00331407"/>
    <w:rsid w:val="00365C0E"/>
    <w:rsid w:val="003C5160"/>
    <w:rsid w:val="003E1BDF"/>
    <w:rsid w:val="004149D1"/>
    <w:rsid w:val="00437E0C"/>
    <w:rsid w:val="004A76C7"/>
    <w:rsid w:val="004B4BFE"/>
    <w:rsid w:val="004C28F4"/>
    <w:rsid w:val="005371B0"/>
    <w:rsid w:val="00585F2A"/>
    <w:rsid w:val="005A06FD"/>
    <w:rsid w:val="005A7EC4"/>
    <w:rsid w:val="005D334D"/>
    <w:rsid w:val="006528A6"/>
    <w:rsid w:val="00683211"/>
    <w:rsid w:val="00692DF0"/>
    <w:rsid w:val="0069516E"/>
    <w:rsid w:val="006B22C5"/>
    <w:rsid w:val="006D6A7D"/>
    <w:rsid w:val="00726521"/>
    <w:rsid w:val="007426ED"/>
    <w:rsid w:val="007764C2"/>
    <w:rsid w:val="007C0130"/>
    <w:rsid w:val="007E471C"/>
    <w:rsid w:val="007F7EE8"/>
    <w:rsid w:val="00844240"/>
    <w:rsid w:val="0084574D"/>
    <w:rsid w:val="00847204"/>
    <w:rsid w:val="008B639D"/>
    <w:rsid w:val="008F78A8"/>
    <w:rsid w:val="00982937"/>
    <w:rsid w:val="009C3A8C"/>
    <w:rsid w:val="00A02E35"/>
    <w:rsid w:val="00A02F09"/>
    <w:rsid w:val="00A05154"/>
    <w:rsid w:val="00A412AB"/>
    <w:rsid w:val="00A47FC6"/>
    <w:rsid w:val="00A53A19"/>
    <w:rsid w:val="00A6652C"/>
    <w:rsid w:val="00A80CC6"/>
    <w:rsid w:val="00AA262F"/>
    <w:rsid w:val="00AD2289"/>
    <w:rsid w:val="00B0165D"/>
    <w:rsid w:val="00B060DB"/>
    <w:rsid w:val="00B06CE9"/>
    <w:rsid w:val="00B3413F"/>
    <w:rsid w:val="00B441FD"/>
    <w:rsid w:val="00B80A15"/>
    <w:rsid w:val="00B916F9"/>
    <w:rsid w:val="00BA2881"/>
    <w:rsid w:val="00C47A0D"/>
    <w:rsid w:val="00C521CB"/>
    <w:rsid w:val="00C71DBE"/>
    <w:rsid w:val="00CB1C33"/>
    <w:rsid w:val="00CB549B"/>
    <w:rsid w:val="00CC1261"/>
    <w:rsid w:val="00D34D1B"/>
    <w:rsid w:val="00D62829"/>
    <w:rsid w:val="00D7558D"/>
    <w:rsid w:val="00D81FF5"/>
    <w:rsid w:val="00D863F4"/>
    <w:rsid w:val="00DA27DA"/>
    <w:rsid w:val="00DB309E"/>
    <w:rsid w:val="00E00322"/>
    <w:rsid w:val="00E215ED"/>
    <w:rsid w:val="00E5623C"/>
    <w:rsid w:val="00E5717A"/>
    <w:rsid w:val="00E920AD"/>
    <w:rsid w:val="00EC0F09"/>
    <w:rsid w:val="00EC18BA"/>
    <w:rsid w:val="00F03F29"/>
    <w:rsid w:val="00F10A56"/>
    <w:rsid w:val="00F46EB6"/>
    <w:rsid w:val="00F50B67"/>
    <w:rsid w:val="00F83C33"/>
    <w:rsid w:val="00F917A4"/>
    <w:rsid w:val="00FA2E30"/>
    <w:rsid w:val="00FA6D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379AF"/>
  <w15:docId w15:val="{27379534-2654-4CE6-BB99-5B8E3552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154"/>
    <w:pPr>
      <w:spacing w:line="260" w:lineRule="exact"/>
    </w:pPr>
    <w:rPr>
      <w:rFonts w:ascii="Amnesty Trade Gothic" w:hAnsi="Amnesty Trade Gothic"/>
      <w:szCs w:val="24"/>
      <w:lang w:val="fr-CH" w:eastAsia="de-DE"/>
    </w:rPr>
  </w:style>
  <w:style w:type="paragraph" w:styleId="Titre1">
    <w:name w:val="heading 1"/>
    <w:basedOn w:val="AISubheadline"/>
    <w:next w:val="Normal"/>
    <w:qFormat/>
    <w:rsid w:val="00A80CC6"/>
    <w:pPr>
      <w:keepNext/>
      <w:outlineLvl w:val="0"/>
    </w:pPr>
    <w:rPr>
      <w:rFonts w:cs="Arial"/>
      <w:bCs/>
      <w:kern w:val="32"/>
      <w:szCs w:val="32"/>
    </w:rPr>
  </w:style>
  <w:style w:type="paragraph" w:styleId="Titre2">
    <w:name w:val="heading 2"/>
    <w:basedOn w:val="AIZwischentitelStufe1"/>
    <w:next w:val="AIFliesstext"/>
    <w:qFormat/>
    <w:rsid w:val="00A80CC6"/>
    <w:pPr>
      <w:keepNext/>
      <w:outlineLvl w:val="1"/>
    </w:pPr>
    <w:rPr>
      <w:rFonts w:cs="Arial"/>
      <w:bCs/>
      <w:iCs/>
      <w:szCs w:val="28"/>
    </w:rPr>
  </w:style>
  <w:style w:type="paragraph" w:styleId="Titre3">
    <w:name w:val="heading 3"/>
    <w:basedOn w:val="Normal"/>
    <w:next w:val="Normal"/>
    <w:qFormat/>
    <w:rsid w:val="00A80CC6"/>
    <w:pPr>
      <w:keepNext/>
      <w:spacing w:before="100" w:after="100"/>
      <w:outlineLvl w:val="2"/>
    </w:pPr>
    <w:rPr>
      <w:rFonts w:ascii="Amnesty Trade Gothic Cn" w:hAnsi="Amnesty Trade Gothic Cn" w:cs="Arial"/>
      <w:b/>
      <w:bCs/>
      <w:cap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80CC6"/>
    <w:pPr>
      <w:tabs>
        <w:tab w:val="center" w:pos="4536"/>
        <w:tab w:val="right" w:pos="9072"/>
      </w:tabs>
    </w:pPr>
    <w:rPr>
      <w:noProof/>
      <w:color w:val="999999"/>
    </w:rPr>
  </w:style>
  <w:style w:type="paragraph" w:styleId="Pieddepage">
    <w:name w:val="footer"/>
    <w:basedOn w:val="Normal"/>
    <w:rsid w:val="00A80CC6"/>
    <w:pPr>
      <w:tabs>
        <w:tab w:val="center" w:pos="4536"/>
        <w:tab w:val="right" w:pos="9072"/>
      </w:tabs>
      <w:spacing w:line="220" w:lineRule="exact"/>
    </w:pPr>
    <w:rPr>
      <w:noProof/>
      <w:color w:val="999999"/>
      <w:sz w:val="16"/>
    </w:rPr>
  </w:style>
  <w:style w:type="paragraph" w:customStyle="1" w:styleId="AIAufzhlung1Ebene">
    <w:name w:val="AI_Aufzählung_1.Ebene"/>
    <w:basedOn w:val="Normal"/>
    <w:rsid w:val="00A80CC6"/>
    <w:pPr>
      <w:numPr>
        <w:numId w:val="24"/>
      </w:numPr>
      <w:tabs>
        <w:tab w:val="clear" w:pos="227"/>
        <w:tab w:val="left" w:pos="340"/>
      </w:tabs>
      <w:spacing w:after="80"/>
      <w:ind w:left="340" w:hanging="340"/>
    </w:pPr>
  </w:style>
  <w:style w:type="paragraph" w:customStyle="1" w:styleId="AIAufzhlung2Ebene">
    <w:name w:val="AI_Aufzählung_2.Ebene"/>
    <w:basedOn w:val="Normal"/>
    <w:rsid w:val="00A80CC6"/>
    <w:pPr>
      <w:numPr>
        <w:numId w:val="25"/>
      </w:numPr>
      <w:tabs>
        <w:tab w:val="clear" w:pos="227"/>
        <w:tab w:val="left" w:pos="340"/>
      </w:tabs>
      <w:spacing w:after="80"/>
      <w:ind w:left="680" w:hanging="340"/>
    </w:pPr>
  </w:style>
  <w:style w:type="paragraph" w:customStyle="1" w:styleId="AIZWISCHENTITELStufe2">
    <w:name w:val="AI_ZWISCHENTITEL_Stufe_2"/>
    <w:basedOn w:val="Normal"/>
    <w:next w:val="AIFliesstext"/>
    <w:rsid w:val="00A80CC6"/>
    <w:pPr>
      <w:spacing w:before="100" w:after="100"/>
    </w:pPr>
    <w:rPr>
      <w:rFonts w:ascii="Amnesty Trade Gothic Cn" w:hAnsi="Amnesty Trade Gothic Cn"/>
      <w:b/>
      <w:caps/>
    </w:rPr>
  </w:style>
  <w:style w:type="paragraph" w:customStyle="1" w:styleId="AIAufzhlung3Ebene">
    <w:name w:val="AI_Aufzählung_3.Ebene"/>
    <w:basedOn w:val="Normal"/>
    <w:rsid w:val="00A80CC6"/>
    <w:pPr>
      <w:numPr>
        <w:numId w:val="26"/>
      </w:numPr>
      <w:tabs>
        <w:tab w:val="clear" w:pos="454"/>
        <w:tab w:val="left" w:pos="680"/>
      </w:tabs>
      <w:spacing w:after="80"/>
      <w:ind w:left="1020" w:hanging="340"/>
    </w:pPr>
  </w:style>
  <w:style w:type="paragraph" w:customStyle="1" w:styleId="AIAufzhlungZiffernGliederung">
    <w:name w:val="AI_Aufzählung_Ziffern_Gliederung"/>
    <w:basedOn w:val="Normal"/>
    <w:rsid w:val="00A80CC6"/>
    <w:pPr>
      <w:numPr>
        <w:numId w:val="27"/>
      </w:numPr>
      <w:spacing w:after="80"/>
    </w:pPr>
  </w:style>
  <w:style w:type="paragraph" w:customStyle="1" w:styleId="AIFliesstext">
    <w:name w:val="AI_Fliesstext"/>
    <w:basedOn w:val="Normal"/>
    <w:rsid w:val="00A80CC6"/>
    <w:pPr>
      <w:spacing w:after="200"/>
    </w:pPr>
  </w:style>
  <w:style w:type="character" w:styleId="Lienhypertexte">
    <w:name w:val="Hyperlink"/>
    <w:basedOn w:val="Policepardfaut"/>
    <w:rsid w:val="00A80CC6"/>
    <w:rPr>
      <w:color w:val="0000FF"/>
      <w:u w:val="single"/>
      <w:lang w:val="de-CH"/>
    </w:rPr>
  </w:style>
  <w:style w:type="paragraph" w:customStyle="1" w:styleId="AIHeadline">
    <w:name w:val="AI_Headline"/>
    <w:basedOn w:val="Normal"/>
    <w:next w:val="AISubheadline"/>
    <w:rsid w:val="0022078B"/>
    <w:pPr>
      <w:spacing w:before="100" w:after="440" w:line="880" w:lineRule="exact"/>
    </w:pPr>
    <w:rPr>
      <w:rFonts w:ascii="Amnesty Trade Gothic Cn" w:hAnsi="Amnesty Trade Gothic Cn"/>
      <w:b/>
      <w:bCs/>
      <w:caps/>
      <w:sz w:val="80"/>
      <w:szCs w:val="80"/>
    </w:rPr>
  </w:style>
  <w:style w:type="paragraph" w:customStyle="1" w:styleId="AISubheadline">
    <w:name w:val="AI_Subheadline"/>
    <w:basedOn w:val="Normal"/>
    <w:next w:val="AIFliesstext"/>
    <w:rsid w:val="0022078B"/>
    <w:pPr>
      <w:spacing w:before="100" w:after="440" w:line="480" w:lineRule="exact"/>
    </w:pPr>
    <w:rPr>
      <w:rFonts w:ascii="Amnesty Trade Gothic Cn" w:hAnsi="Amnesty Trade Gothic Cn"/>
      <w:b/>
      <w:caps/>
      <w:sz w:val="40"/>
    </w:rPr>
  </w:style>
  <w:style w:type="paragraph" w:styleId="Notedebasdepage">
    <w:name w:val="footnote text"/>
    <w:basedOn w:val="Normal"/>
    <w:rsid w:val="00EC0F09"/>
    <w:pPr>
      <w:spacing w:line="220" w:lineRule="exact"/>
    </w:pPr>
    <w:rPr>
      <w:sz w:val="16"/>
      <w:szCs w:val="20"/>
    </w:rPr>
  </w:style>
  <w:style w:type="character" w:styleId="Appelnotedebasdep">
    <w:name w:val="footnote reference"/>
    <w:basedOn w:val="Policepardfaut"/>
    <w:rsid w:val="00B441FD"/>
    <w:rPr>
      <w:vertAlign w:val="superscript"/>
    </w:rPr>
  </w:style>
  <w:style w:type="paragraph" w:customStyle="1" w:styleId="AIZwischentitelStufe1">
    <w:name w:val="AI_Zwischentitel_Stufe_1"/>
    <w:basedOn w:val="AISubheadline"/>
    <w:next w:val="AIFliesstext"/>
    <w:rsid w:val="00A80CC6"/>
    <w:pPr>
      <w:spacing w:after="100"/>
    </w:pPr>
    <w:rPr>
      <w:szCs w:val="40"/>
    </w:rPr>
  </w:style>
  <w:style w:type="paragraph" w:customStyle="1" w:styleId="AIAufzhlungZiffern">
    <w:name w:val="AI_Aufzählung_Ziffern"/>
    <w:basedOn w:val="Normal"/>
    <w:rsid w:val="00A80CC6"/>
    <w:pPr>
      <w:numPr>
        <w:numId w:val="28"/>
      </w:numPr>
      <w:tabs>
        <w:tab w:val="clear" w:pos="227"/>
        <w:tab w:val="left" w:pos="340"/>
      </w:tabs>
      <w:spacing w:after="80"/>
      <w:ind w:left="340" w:hanging="340"/>
    </w:pPr>
  </w:style>
  <w:style w:type="character" w:customStyle="1" w:styleId="hgkelc">
    <w:name w:val="hgkelc"/>
    <w:basedOn w:val="Policepardfaut"/>
    <w:rsid w:val="00F46EB6"/>
  </w:style>
  <w:style w:type="paragraph" w:styleId="Titre">
    <w:name w:val="Title"/>
    <w:basedOn w:val="Normal"/>
    <w:next w:val="Normal"/>
    <w:link w:val="TitreCar"/>
    <w:qFormat/>
    <w:rsid w:val="00F46EB6"/>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F46EB6"/>
    <w:rPr>
      <w:rFonts w:asciiTheme="majorHAnsi" w:eastAsiaTheme="majorEastAsia" w:hAnsiTheme="majorHAnsi" w:cstheme="majorBidi"/>
      <w:spacing w:val="-10"/>
      <w:kern w:val="28"/>
      <w:sz w:val="56"/>
      <w:szCs w:val="56"/>
      <w:lang w:val="fr-CH" w:eastAsia="de-DE"/>
    </w:rPr>
  </w:style>
  <w:style w:type="character" w:customStyle="1" w:styleId="En-tteCar">
    <w:name w:val="En-tête Car"/>
    <w:basedOn w:val="Policepardfaut"/>
    <w:link w:val="En-tte"/>
    <w:uiPriority w:val="99"/>
    <w:rsid w:val="00177157"/>
    <w:rPr>
      <w:rFonts w:ascii="Amnesty Trade Gothic" w:hAnsi="Amnesty Trade Gothic"/>
      <w:noProof/>
      <w:color w:val="999999"/>
      <w:szCs w:val="24"/>
      <w:lang w:val="fr-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commreports.ohchr.org/TMResultsBase/DownLoadPublicCommunicationFile?gId=25305" TargetMode="External"/><Relationship Id="rId13" Type="http://schemas.openxmlformats.org/officeDocument/2006/relationships/hyperlink" Target="https://unser-recht.ch/wp-content/uploads/2020/09/MPT-Lettre-ouverte.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e.int/en/web/commissioner/view/-/asset_publisher/ugj3i6qSEkhZ/content/swiss-lawmakers-should-review-draft-legislation-on-police-counterterrorism-measures-to-ensure-respect-for-human-rights?_101_INSTANCE_ugj3i6qSEkhZ_languageId=fr_FR" TargetMode="External"/><Relationship Id="rId12" Type="http://schemas.openxmlformats.org/officeDocument/2006/relationships/hyperlink" Target="https://www.letemps.ch/opinions/droits-lenfant-sacrifies-profit-lutte-contre-terrorisme?utm_source=twitter&amp;utm_medium=social&amp;utm_campaign=article_traffic" TargetMode="External"/><Relationship Id="rId17" Type="http://schemas.openxmlformats.org/officeDocument/2006/relationships/hyperlink" Target="https://www.icj.org/switzerland-draft-anti-terrorism-law-fails-to-comply-with-human-rights-obligations/" TargetMode="External"/><Relationship Id="rId2" Type="http://schemas.openxmlformats.org/officeDocument/2006/relationships/styles" Target="styles.xml"/><Relationship Id="rId16" Type="http://schemas.openxmlformats.org/officeDocument/2006/relationships/hyperlink" Target="https://www.netzwerk-kinderrechte.ch/resources/Prise_de_position_Reseau_suisse_droits_enfants_MPT_F.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chr.org/EN/NewsEvents/Pages/DisplayNews.aspx?NewsID=26224&amp;LangID=E" TargetMode="External"/><Relationship Id="rId5" Type="http://schemas.openxmlformats.org/officeDocument/2006/relationships/footnotes" Target="footnotes.xml"/><Relationship Id="rId15" Type="http://schemas.openxmlformats.org/officeDocument/2006/relationships/hyperlink" Target="https://www.amnesty.ch/fr/pays/europe-asie-centrale/suisse/docs/2019/les-droits-humains-sacrifies-sur-l-autel-de-la-lutte-contre-le-terrorisme" TargetMode="External"/><Relationship Id="rId10" Type="http://schemas.openxmlformats.org/officeDocument/2006/relationships/hyperlink" Target="https://www.srf.ch/news/schweiz/terrorismus-bekaempfung-sehr-weit-gefasst-eda-intervenierte-wegen-anti-terror-geset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hchr.org/EN/NewsEvents/Pages/DisplayNews.aspx?NewsID=26224" TargetMode="External"/><Relationship Id="rId14" Type="http://schemas.openxmlformats.org/officeDocument/2006/relationships/hyperlink" Target="https://www.parlament.ch/fr/ratsbetrieb/suche-curia-vista/geschaeft?AffairId=201900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eimann\OneDrive%20-%20AICH\Dokumente\Vorlagen\Headline_f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C:\Users\mreimann\OneDrive - AICH\Dokumente\Vorlagen\Headline_fr.dotm</Template>
  <TotalTime>1</TotalTime>
  <Pages>3</Pages>
  <Words>1692</Words>
  <Characters>9307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40 PKT HEADLINE, MAXIMAL ZWEI (2) ZEILEN</vt:lpstr>
    </vt:vector>
  </TitlesOfParts>
  <Company>Amnesty International Schweizer Sektion</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Manuela Reimann Graf</dc:creator>
  <cp:lastModifiedBy>Benoît Tabin</cp:lastModifiedBy>
  <cp:revision>2</cp:revision>
  <cp:lastPrinted>2009-08-04T08:31:00Z</cp:lastPrinted>
  <dcterms:created xsi:type="dcterms:W3CDTF">2021-03-04T09:16:00Z</dcterms:created>
  <dcterms:modified xsi:type="dcterms:W3CDTF">2021-03-04T09:16:00Z</dcterms:modified>
</cp:coreProperties>
</file>